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Voxelmaps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i w:val="1"/>
        </w:rPr>
      </w:pP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Maps For Machines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1"/>
        </w:rPr>
      </w:pP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Voxelmaps is building the world’s most accurate 4D volumetric model of the earth, Digital Twin of the Planet, combining high-resolution scans using the latest LiDAR and HD imaging sensors, fused with a wide variety of other rich content. The result is a new form of mapping which provides superior levels of accuracy, information, and insight.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Key Contacts &amp; Contracts (if applicable):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Brian Soliday, Chief Revenue Officer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Company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Voxelmaps was founded in 2017, and is a spin-off from Navmii, an established navigation &amp; SD Mapping Company with 16 years of experience in mapping over 180 countries on a global basis. 350+ employees, with offices in 7 countries. Broad commercial customer base, including some of the largest technology companies in the world. Mobile mapping data collection of ~1.3M exceeded linear miles per year.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Brief Summary: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Voxelmaps is building the world’s most accurate 4D volumetric Digital Twin of the earth, combining high-resolution scans using the latest LiDAR and HD imaging sensors, fused with a wide variety of other rich content. The result is a new form of mapping which provides superior levels of accuracy, information, and insight.  Voxelmaps has developed a patented technology that divides the planet into a dense matrix of multi-resolution voxels (3D pixels), with each voxel having a permanent location and address. The automated feature extraction is performed on this model using Voxelmaps’ AI software tools, the Voxelmaps Insight Platform (VIP).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Relevant topics may include, but not limited to: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rtl w:val="0"/>
        </w:rPr>
        <w:t xml:space="preserve">Digital Twins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Digital Earth, Virtual Globes and Spatial-oriented Augmented Reality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Geospatial AI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Integrated BIM and GIS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Disaster and Risk Management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Unmanned Platforms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3D Modeling, Analysis and Visualization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Model Web, Geospatial Workflows and Service Composition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Spatiotemporal Data Acquisition, Modeling, and Analysis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Earth Observation Systems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Visit us during GEOINT 202</w:t>
      </w: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Booth #1411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864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187060" cy="3667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7060" cy="366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5CB5"/>
    <w:pPr>
      <w:spacing w:after="0" w:line="240" w:lineRule="auto"/>
    </w:pPr>
    <w:rPr>
      <w:rFonts w:ascii="Calibri" w:cs="Times New Roman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05CB5"/>
    <w:pPr>
      <w:ind w:left="720"/>
      <w:contextualSpacing w:val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C05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 w:val="1"/>
    <w:rsid w:val="00C05CB5"/>
    <w:rPr>
      <w:rFonts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C05C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 w:val="1"/>
    <w:rsid w:val="00E1197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1197B"/>
    <w:rPr>
      <w:rFonts w:ascii="Calibri" w:cs="Times New Roman" w:hAnsi="Calibri"/>
    </w:rPr>
  </w:style>
  <w:style w:type="paragraph" w:styleId="Footer">
    <w:name w:val="footer"/>
    <w:basedOn w:val="Normal"/>
    <w:link w:val="FooterChar"/>
    <w:uiPriority w:val="99"/>
    <w:unhideWhenUsed w:val="1"/>
    <w:rsid w:val="00E1197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1197B"/>
    <w:rPr>
      <w:rFonts w:ascii="Calibri" w:cs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OuxIpHmc423UjyRu9yVsMjdGMQ==">AMUW2mU8OoKqkAqaR+JB8pY1oqe3g3LsYXRYiMIM6vcJdPrhiRsYRpWoltlMU0VMTxV2VXLJSYglBQI/ge+y3JwBVgHwaR9kf953UhXD0dSkSXXaxosGCqg4YcUKiIFiPSxE1I1iHTX3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2022-03-09T16:11:00Z</dcterms:created>
  <dc:creator>Mary Chahalis</dc:creator>
</cp:coreProperties>
</file>