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EE1A" w14:textId="77777777" w:rsidR="00DD7397" w:rsidRDefault="00945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Snowflake</w:t>
      </w:r>
    </w:p>
    <w:p w14:paraId="25201F7B" w14:textId="77777777" w:rsidR="00DD7397" w:rsidRDefault="00945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</w:rPr>
      </w:pPr>
      <w:r>
        <w:rPr>
          <w:rFonts w:ascii="Tahoma" w:eastAsia="Tahoma" w:hAnsi="Tahoma" w:cs="Tahoma"/>
          <w:i/>
          <w:color w:val="000000"/>
        </w:rPr>
        <w:t>The Government Data Cloud</w:t>
      </w:r>
    </w:p>
    <w:p w14:paraId="5C6488D3" w14:textId="77777777" w:rsidR="00DD7397" w:rsidRDefault="00DD73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</w:rPr>
      </w:pPr>
    </w:p>
    <w:p w14:paraId="17E1EA03" w14:textId="77777777" w:rsidR="00DD7397" w:rsidRDefault="00945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21"/>
          <w:szCs w:val="21"/>
        </w:rPr>
      </w:pPr>
      <w:r>
        <w:rPr>
          <w:rFonts w:ascii="Tahoma" w:eastAsia="Tahoma" w:hAnsi="Tahoma" w:cs="Tahoma"/>
          <w:i/>
          <w:color w:val="000000"/>
          <w:sz w:val="21"/>
          <w:szCs w:val="21"/>
        </w:rPr>
        <w:t xml:space="preserve">Snowflake delivers the Data Cloud—a global network where thousands of organizations mobilize data with near-unlimited scale, concurrency, and performance. Inside the Data Cloud, organizations unite their siloed data, easily </w:t>
      </w:r>
      <w:proofErr w:type="gramStart"/>
      <w:r>
        <w:rPr>
          <w:rFonts w:ascii="Tahoma" w:eastAsia="Tahoma" w:hAnsi="Tahoma" w:cs="Tahoma"/>
          <w:i/>
          <w:color w:val="000000"/>
          <w:sz w:val="21"/>
          <w:szCs w:val="21"/>
        </w:rPr>
        <w:t>discover</w:t>
      </w:r>
      <w:proofErr w:type="gramEnd"/>
      <w:r>
        <w:rPr>
          <w:rFonts w:ascii="Tahoma" w:eastAsia="Tahoma" w:hAnsi="Tahoma" w:cs="Tahoma"/>
          <w:i/>
          <w:color w:val="000000"/>
          <w:sz w:val="21"/>
          <w:szCs w:val="21"/>
        </w:rPr>
        <w:t xml:space="preserve"> and securely share gove</w:t>
      </w:r>
      <w:r>
        <w:rPr>
          <w:rFonts w:ascii="Tahoma" w:eastAsia="Tahoma" w:hAnsi="Tahoma" w:cs="Tahoma"/>
          <w:i/>
          <w:color w:val="000000"/>
          <w:sz w:val="21"/>
          <w:szCs w:val="21"/>
        </w:rPr>
        <w:t>rned data, and execute diverse analytic workloads.</w:t>
      </w:r>
    </w:p>
    <w:p w14:paraId="50DB2305" w14:textId="77777777" w:rsidR="00DD7397" w:rsidRDefault="00DD7397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color w:val="000000"/>
        </w:rPr>
      </w:pPr>
    </w:p>
    <w:p w14:paraId="01DB5DEC" w14:textId="77777777" w:rsidR="00DD7397" w:rsidRDefault="00945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 xml:space="preserve">Key Contacts </w:t>
      </w:r>
      <w:r>
        <w:rPr>
          <w:rFonts w:ascii="Tahoma" w:eastAsia="Tahoma" w:hAnsi="Tahoma" w:cs="Tahoma"/>
          <w:b/>
          <w:u w:val="single"/>
        </w:rPr>
        <w:t>and</w:t>
      </w:r>
      <w:r>
        <w:rPr>
          <w:rFonts w:ascii="Tahoma" w:eastAsia="Tahoma" w:hAnsi="Tahoma" w:cs="Tahoma"/>
          <w:b/>
          <w:color w:val="000000"/>
          <w:u w:val="single"/>
        </w:rPr>
        <w:t xml:space="preserve"> Contracts (if applicable):</w:t>
      </w:r>
    </w:p>
    <w:p w14:paraId="57AED7D0" w14:textId="77777777" w:rsidR="00DD7397" w:rsidRDefault="00945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270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color w:val="000000"/>
        </w:rPr>
        <w:t>Current prototypes in the IC</w:t>
      </w:r>
    </w:p>
    <w:p w14:paraId="699A1F6D" w14:textId="77777777" w:rsidR="00DD7397" w:rsidRDefault="00DD7397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color w:val="000000"/>
        </w:rPr>
      </w:pPr>
    </w:p>
    <w:p w14:paraId="58B499C6" w14:textId="77777777" w:rsidR="00DD7397" w:rsidRDefault="00945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  <w:u w:val="single"/>
        </w:rPr>
        <w:t>Company Overview:</w:t>
      </w:r>
    </w:p>
    <w:p w14:paraId="237C2077" w14:textId="77777777" w:rsidR="00DD7397" w:rsidRDefault="00945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Snowflake was founded in 2012 (GA in 2015)</w:t>
      </w:r>
    </w:p>
    <w:p w14:paraId="6BF63F68" w14:textId="77777777" w:rsidR="00DD7397" w:rsidRDefault="00945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  <w:color w:val="000000"/>
        </w:rPr>
        <w:t>Largest software IPO ever in 2020</w:t>
      </w:r>
    </w:p>
    <w:p w14:paraId="60EB723D" w14:textId="77777777" w:rsidR="00DD7397" w:rsidRDefault="00945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Over 6,000 customers (241 of the Fortune 500)</w:t>
      </w:r>
    </w:p>
    <w:p w14:paraId="438A78EF" w14:textId="77777777" w:rsidR="00DD7397" w:rsidRDefault="00945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Government customers include numerous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color w:val="000000"/>
        </w:rPr>
        <w:t xml:space="preserve">ederal,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color w:val="000000"/>
        </w:rPr>
        <w:t xml:space="preserve">tate,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color w:val="000000"/>
        </w:rPr>
        <w:t>ocal agencies</w:t>
      </w:r>
    </w:p>
    <w:p w14:paraId="324E3C72" w14:textId="77777777" w:rsidR="00DD7397" w:rsidRDefault="00945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Contract </w:t>
      </w:r>
      <w:r>
        <w:rPr>
          <w:rFonts w:ascii="Tahoma" w:eastAsia="Tahoma" w:hAnsi="Tahoma" w:cs="Tahoma"/>
        </w:rPr>
        <w:t>v</w:t>
      </w:r>
      <w:r>
        <w:rPr>
          <w:rFonts w:ascii="Tahoma" w:eastAsia="Tahoma" w:hAnsi="Tahoma" w:cs="Tahoma"/>
          <w:color w:val="000000"/>
        </w:rPr>
        <w:t>ehicles: GSA, NASA SEWP</w:t>
      </w:r>
    </w:p>
    <w:p w14:paraId="7E71B029" w14:textId="77777777" w:rsidR="00DD7397" w:rsidRDefault="00945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FedRamp</w:t>
      </w:r>
      <w:proofErr w:type="spellEnd"/>
      <w:r>
        <w:rPr>
          <w:rFonts w:ascii="Tahoma" w:eastAsia="Tahoma" w:hAnsi="Tahoma" w:cs="Tahoma"/>
          <w:color w:val="000000"/>
        </w:rPr>
        <w:t xml:space="preserve"> certified</w:t>
      </w:r>
    </w:p>
    <w:p w14:paraId="6A80116C" w14:textId="77777777" w:rsidR="00DD7397" w:rsidRDefault="009451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TS/SCI cleared resources</w:t>
      </w:r>
    </w:p>
    <w:p w14:paraId="4E29583D" w14:textId="77777777" w:rsidR="00DD7397" w:rsidRDefault="00DD7397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232B0D9B" w14:textId="77777777" w:rsidR="00DD7397" w:rsidRDefault="00945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Brief Summary:</w:t>
      </w:r>
    </w:p>
    <w:p w14:paraId="45B5A6EF" w14:textId="77777777" w:rsidR="00DD7397" w:rsidRDefault="00DD73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u w:val="single"/>
        </w:rPr>
      </w:pPr>
    </w:p>
    <w:p w14:paraId="64D1FE6E" w14:textId="77777777" w:rsidR="00DD7397" w:rsidRDefault="00945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Snowflake’s multi-cloud, multi-cluster, shared data architecture provides the scale, performance, elasticity, and concurrency to meet the Intelligence Community’s needs for the volume, velocity, and variety of data. Snowflake supports all your data includi</w:t>
      </w:r>
      <w:r>
        <w:rPr>
          <w:rFonts w:ascii="Tahoma" w:eastAsia="Tahoma" w:hAnsi="Tahoma" w:cs="Tahoma"/>
          <w:color w:val="000000"/>
        </w:rPr>
        <w:t>ng structured, semi-structured, unstructured, or geospatial. Snowflake’s software-as-a-service model eliminates the complexity that exists in both open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source and legacy systems alike. Removing obstacles associated with technology adoption should not be a </w:t>
      </w:r>
      <w:r>
        <w:rPr>
          <w:rFonts w:ascii="Tahoma" w:eastAsia="Tahoma" w:hAnsi="Tahoma" w:cs="Tahoma"/>
          <w:color w:val="000000"/>
        </w:rPr>
        <w:t>concern for Intelligence Community leaders. These leaders should simply have the data they need to make decisions, and the enabling technology should just work.</w:t>
      </w:r>
    </w:p>
    <w:p w14:paraId="671AB978" w14:textId="77777777" w:rsidR="00DD7397" w:rsidRDefault="00DD73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</w:p>
    <w:p w14:paraId="074A25EF" w14:textId="77777777" w:rsidR="00DD7397" w:rsidRDefault="00945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Relevant topics may include, but are not limited to:</w:t>
      </w:r>
    </w:p>
    <w:p w14:paraId="429E0689" w14:textId="77777777" w:rsidR="00DD7397" w:rsidRDefault="00945120">
      <w:r>
        <w:t>Data Warehouse</w:t>
      </w:r>
    </w:p>
    <w:p w14:paraId="436D7EE6" w14:textId="77777777" w:rsidR="00DD7397" w:rsidRDefault="00945120">
      <w:r>
        <w:t>Data Lake</w:t>
      </w:r>
    </w:p>
    <w:p w14:paraId="5AAA222F" w14:textId="77777777" w:rsidR="00DD7397" w:rsidRDefault="00945120">
      <w:r>
        <w:t>Data Science</w:t>
      </w:r>
    </w:p>
    <w:p w14:paraId="4BEE3CBD" w14:textId="77777777" w:rsidR="00DD7397" w:rsidRDefault="00945120">
      <w:r>
        <w:t>AI/ML</w:t>
      </w:r>
    </w:p>
    <w:p w14:paraId="0D9D0C6F" w14:textId="77777777" w:rsidR="00DD7397" w:rsidRDefault="00945120">
      <w:r>
        <w:t>Data Engineering</w:t>
      </w:r>
    </w:p>
    <w:p w14:paraId="5CF2B5C5" w14:textId="77777777" w:rsidR="00DD7397" w:rsidRDefault="00945120">
      <w:r>
        <w:t>Data Applications</w:t>
      </w:r>
    </w:p>
    <w:p w14:paraId="6634304A" w14:textId="77777777" w:rsidR="00DD7397" w:rsidRDefault="00945120">
      <w:r>
        <w:t>Data Sharing</w:t>
      </w:r>
    </w:p>
    <w:p w14:paraId="7B2D6C08" w14:textId="77777777" w:rsidR="00DD7397" w:rsidRDefault="00945120">
      <w:r>
        <w:t>Data Marketplace</w:t>
      </w:r>
    </w:p>
    <w:p w14:paraId="1896775A" w14:textId="77777777" w:rsidR="00DD7397" w:rsidRDefault="00945120">
      <w:r>
        <w:t>Geospatial Analytics</w:t>
      </w:r>
    </w:p>
    <w:p w14:paraId="5F6D88B1" w14:textId="77777777" w:rsidR="00DD7397" w:rsidRDefault="00945120">
      <w:r>
        <w:t>Data Clean Rooms</w:t>
      </w:r>
    </w:p>
    <w:p w14:paraId="0821D5B5" w14:textId="77777777" w:rsidR="00DD7397" w:rsidRDefault="00945120">
      <w:r>
        <w:t>Data Mesh</w:t>
      </w:r>
    </w:p>
    <w:p w14:paraId="15102758" w14:textId="77777777" w:rsidR="00DD7397" w:rsidRDefault="00DD73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</w:p>
    <w:p w14:paraId="27C2235A" w14:textId="77777777" w:rsidR="00DD7397" w:rsidRDefault="00DD73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</w:p>
    <w:p w14:paraId="5DD2F901" w14:textId="77777777" w:rsidR="00DD7397" w:rsidRDefault="00945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  <w:u w:val="single"/>
        </w:rPr>
        <w:t>Visit us during GEOINT 2022</w:t>
      </w:r>
    </w:p>
    <w:p w14:paraId="1A1CAFB9" w14:textId="5B12037D" w:rsidR="00DD7397" w:rsidRDefault="00945120" w:rsidP="007C5C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Booth #933</w:t>
      </w:r>
    </w:p>
    <w:sectPr w:rsidR="00DD7397">
      <w:headerReference w:type="default" r:id="rId8"/>
      <w:pgSz w:w="12240" w:h="15840"/>
      <w:pgMar w:top="1152" w:right="1152" w:bottom="86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8F07" w14:textId="77777777" w:rsidR="00945120" w:rsidRDefault="00945120">
      <w:r>
        <w:separator/>
      </w:r>
    </w:p>
  </w:endnote>
  <w:endnote w:type="continuationSeparator" w:id="0">
    <w:p w14:paraId="18C3372E" w14:textId="77777777" w:rsidR="00945120" w:rsidRDefault="0094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0B4D" w14:textId="77777777" w:rsidR="00945120" w:rsidRDefault="00945120">
      <w:r>
        <w:separator/>
      </w:r>
    </w:p>
  </w:footnote>
  <w:footnote w:type="continuationSeparator" w:id="0">
    <w:p w14:paraId="6354C0C9" w14:textId="77777777" w:rsidR="00945120" w:rsidRDefault="0094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4B00" w14:textId="076C269D" w:rsidR="00DD7397" w:rsidRPr="007C5CE3" w:rsidRDefault="007C5CE3" w:rsidP="007C5CE3">
    <w:pPr>
      <w:jc w:val="right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6438F520" wp14:editId="68604CB1">
          <wp:extent cx="1701579" cy="1134386"/>
          <wp:effectExtent l="0" t="0" r="63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999" cy="115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D2225C" w14:textId="77777777" w:rsidR="00DD7397" w:rsidRDefault="00DD73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0E5D"/>
    <w:multiLevelType w:val="multilevel"/>
    <w:tmpl w:val="4D00523E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D32C9B"/>
    <w:multiLevelType w:val="multilevel"/>
    <w:tmpl w:val="07967880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97"/>
    <w:rsid w:val="007C5CE3"/>
    <w:rsid w:val="00945120"/>
    <w:rsid w:val="00D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76890"/>
  <w15:docId w15:val="{A2F3C7E5-1485-AB45-8E35-A2C76D3C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B5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5CB5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CB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C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9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97B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59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Z2NQXiMqQXBOs9Qyr9dCThTW6w==">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Chahalis</dc:creator>
  <cp:lastModifiedBy>Rita Walston</cp:lastModifiedBy>
  <cp:revision>2</cp:revision>
  <dcterms:created xsi:type="dcterms:W3CDTF">2022-03-10T16:51:00Z</dcterms:created>
  <dcterms:modified xsi:type="dcterms:W3CDTF">2022-03-30T16:20:00Z</dcterms:modified>
</cp:coreProperties>
</file>