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9076C" w14:textId="61122C76" w:rsidR="004122F3" w:rsidRPr="007D1028" w:rsidRDefault="007D1028" w:rsidP="00C05CB5">
      <w:pPr>
        <w:pStyle w:val="PlainText"/>
        <w:jc w:val="center"/>
        <w:rPr>
          <w:rFonts w:ascii="Tahoma" w:hAnsi="Tahoma" w:cs="Tahoma"/>
          <w:b/>
          <w:sz w:val="32"/>
          <w:szCs w:val="32"/>
        </w:rPr>
      </w:pPr>
      <w:r w:rsidRPr="007D1028">
        <w:rPr>
          <w:rFonts w:ascii="Tahoma" w:hAnsi="Tahoma" w:cs="Tahoma"/>
          <w:b/>
          <w:sz w:val="32"/>
          <w:szCs w:val="32"/>
        </w:rPr>
        <w:t xml:space="preserve">Alteryx </w:t>
      </w:r>
    </w:p>
    <w:p w14:paraId="31A26B6A" w14:textId="44E79453" w:rsidR="0033488B" w:rsidRPr="008740E1" w:rsidRDefault="007D1028" w:rsidP="009051B3">
      <w:pPr>
        <w:pStyle w:val="PlainText"/>
        <w:jc w:val="center"/>
        <w:rPr>
          <w:rFonts w:ascii="Segoe UI" w:hAnsi="Segoe UI" w:cs="Segoe UI"/>
          <w:i/>
          <w:sz w:val="20"/>
          <w:szCs w:val="20"/>
        </w:rPr>
      </w:pPr>
      <w:r w:rsidRPr="008740E1">
        <w:rPr>
          <w:rFonts w:ascii="Segoe UI" w:hAnsi="Segoe UI" w:cs="Segoe UI"/>
          <w:color w:val="000000"/>
          <w:sz w:val="20"/>
          <w:szCs w:val="20"/>
        </w:rPr>
        <w:t>Democratize your data, automate analytic processes, and cultivate a data-savvy workforce.</w:t>
      </w:r>
    </w:p>
    <w:p w14:paraId="108A82DF" w14:textId="77777777" w:rsidR="007D1028" w:rsidRPr="008740E1" w:rsidRDefault="007D1028" w:rsidP="009051B3">
      <w:pPr>
        <w:pStyle w:val="PlainText"/>
        <w:jc w:val="center"/>
        <w:rPr>
          <w:rFonts w:ascii="Segoe UI" w:hAnsi="Segoe UI" w:cs="Segoe UI"/>
          <w:i/>
        </w:rPr>
      </w:pPr>
    </w:p>
    <w:p w14:paraId="6EA41AC0" w14:textId="647D61F2" w:rsidR="004122F3" w:rsidRPr="008740E1" w:rsidRDefault="007D1028" w:rsidP="00593370">
      <w:pPr>
        <w:pStyle w:val="PlainText"/>
        <w:rPr>
          <w:rFonts w:ascii="Segoe UI" w:hAnsi="Segoe UI" w:cs="Segoe UI"/>
          <w:i/>
          <w:sz w:val="24"/>
          <w:szCs w:val="24"/>
        </w:rPr>
      </w:pPr>
      <w:r w:rsidRPr="008740E1">
        <w:rPr>
          <w:rFonts w:ascii="Segoe UI" w:hAnsi="Segoe UI" w:cs="Segoe UI"/>
          <w:color w:val="000000"/>
          <w:sz w:val="24"/>
          <w:szCs w:val="24"/>
        </w:rPr>
        <w:t>The Alteryx Analytic Platform accelerates data-driven business outcomes across lines of business in any industry. Organizations can develop faster results, deeper insights, better decisions, and ultimately create a cultural shift where anyone can drive business outcomes through self-service analytics and data science.</w:t>
      </w:r>
    </w:p>
    <w:p w14:paraId="61FC8E1C" w14:textId="77777777" w:rsidR="00FD19E5" w:rsidRPr="008740E1" w:rsidRDefault="00FD19E5" w:rsidP="0033488B">
      <w:pPr>
        <w:pStyle w:val="PlainText"/>
        <w:rPr>
          <w:rFonts w:ascii="Segoe UI" w:hAnsi="Segoe UI" w:cs="Segoe UI"/>
          <w:i/>
        </w:rPr>
      </w:pPr>
    </w:p>
    <w:p w14:paraId="30E4BF75" w14:textId="77777777" w:rsidR="00FD19E5" w:rsidRPr="008740E1" w:rsidRDefault="00FD19E5" w:rsidP="0033488B">
      <w:pPr>
        <w:pStyle w:val="PlainText"/>
        <w:jc w:val="center"/>
        <w:rPr>
          <w:rFonts w:ascii="Segoe UI" w:hAnsi="Segoe UI" w:cs="Segoe UI"/>
          <w:b/>
        </w:rPr>
      </w:pPr>
      <w:r w:rsidRPr="008740E1">
        <w:rPr>
          <w:rFonts w:ascii="Segoe UI" w:hAnsi="Segoe UI" w:cs="Segoe UI"/>
          <w:b/>
          <w:u w:val="single"/>
        </w:rPr>
        <w:t>Company Overview</w:t>
      </w:r>
    </w:p>
    <w:p w14:paraId="59E04348" w14:textId="77777777" w:rsidR="008740E1" w:rsidRPr="008740E1" w:rsidRDefault="008740E1" w:rsidP="008740E1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Segoe UI" w:hAnsi="Segoe UI" w:cs="Segoe UI"/>
          <w:color w:val="0D2345"/>
          <w:sz w:val="20"/>
          <w:szCs w:val="20"/>
        </w:rPr>
      </w:pPr>
      <w:r w:rsidRPr="008740E1">
        <w:rPr>
          <w:rFonts w:ascii="Segoe UI" w:hAnsi="Segoe UI" w:cs="Segoe UI"/>
          <w:b/>
          <w:bCs/>
          <w:color w:val="0D2345"/>
          <w:sz w:val="20"/>
          <w:szCs w:val="20"/>
        </w:rPr>
        <w:t xml:space="preserve">Stock Symbol </w:t>
      </w:r>
      <w:r w:rsidRPr="008740E1">
        <w:rPr>
          <w:rFonts w:ascii="Segoe UI" w:hAnsi="Segoe UI" w:cs="Segoe UI"/>
          <w:color w:val="0D2345"/>
          <w:sz w:val="20"/>
          <w:szCs w:val="20"/>
        </w:rPr>
        <w:t>NYSE: AYX</w:t>
      </w:r>
    </w:p>
    <w:p w14:paraId="0B820F9B" w14:textId="77777777" w:rsidR="008740E1" w:rsidRPr="008740E1" w:rsidRDefault="008740E1" w:rsidP="008740E1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Segoe UI" w:hAnsi="Segoe UI" w:cs="Segoe UI"/>
          <w:color w:val="0D2345"/>
          <w:sz w:val="20"/>
          <w:szCs w:val="20"/>
        </w:rPr>
      </w:pPr>
      <w:r w:rsidRPr="008740E1">
        <w:rPr>
          <w:rFonts w:ascii="Segoe UI" w:hAnsi="Segoe UI" w:cs="Segoe UI"/>
          <w:b/>
          <w:bCs/>
          <w:color w:val="0D2345"/>
          <w:sz w:val="20"/>
          <w:szCs w:val="20"/>
        </w:rPr>
        <w:t xml:space="preserve">IPO Date </w:t>
      </w:r>
      <w:r w:rsidRPr="008740E1">
        <w:rPr>
          <w:rFonts w:ascii="Segoe UI" w:hAnsi="Segoe UI" w:cs="Segoe UI"/>
          <w:color w:val="0D2345"/>
          <w:sz w:val="20"/>
          <w:szCs w:val="20"/>
        </w:rPr>
        <w:t>March 24, 2017</w:t>
      </w:r>
    </w:p>
    <w:p w14:paraId="35D4F077" w14:textId="59F7E3D7" w:rsidR="008740E1" w:rsidRPr="008740E1" w:rsidRDefault="008740E1" w:rsidP="008740E1">
      <w:pPr>
        <w:pStyle w:val="PlainText"/>
        <w:numPr>
          <w:ilvl w:val="0"/>
          <w:numId w:val="15"/>
        </w:numPr>
        <w:rPr>
          <w:rFonts w:ascii="Segoe UI" w:hAnsi="Segoe UI" w:cs="Segoe UI"/>
          <w:sz w:val="24"/>
          <w:szCs w:val="22"/>
        </w:rPr>
      </w:pPr>
      <w:r w:rsidRPr="008740E1">
        <w:rPr>
          <w:rFonts w:ascii="Segoe UI" w:hAnsi="Segoe UI" w:cs="Segoe UI"/>
          <w:b/>
          <w:bCs/>
          <w:color w:val="0D2345"/>
          <w:sz w:val="20"/>
          <w:szCs w:val="20"/>
        </w:rPr>
        <w:t xml:space="preserve">Founding </w:t>
      </w:r>
      <w:r w:rsidRPr="008740E1">
        <w:rPr>
          <w:rFonts w:ascii="Segoe UI" w:hAnsi="Segoe UI" w:cs="Segoe UI"/>
          <w:color w:val="0D2345"/>
          <w:sz w:val="20"/>
          <w:szCs w:val="20"/>
        </w:rPr>
        <w:t>1997</w:t>
      </w:r>
    </w:p>
    <w:p w14:paraId="15EC9AC8" w14:textId="2081EA2B" w:rsidR="008740E1" w:rsidRPr="008740E1" w:rsidRDefault="008740E1" w:rsidP="008740E1">
      <w:pPr>
        <w:pStyle w:val="PlainText"/>
        <w:numPr>
          <w:ilvl w:val="0"/>
          <w:numId w:val="15"/>
        </w:numPr>
        <w:rPr>
          <w:rFonts w:ascii="Segoe UI" w:hAnsi="Segoe UI" w:cs="Segoe UI"/>
          <w:sz w:val="24"/>
          <w:szCs w:val="22"/>
        </w:rPr>
      </w:pPr>
      <w:r w:rsidRPr="008740E1">
        <w:rPr>
          <w:rFonts w:ascii="Segoe UI" w:hAnsi="Segoe UI" w:cs="Segoe UI"/>
          <w:b/>
          <w:bCs/>
          <w:color w:val="0D2345"/>
          <w:sz w:val="20"/>
          <w:szCs w:val="20"/>
        </w:rPr>
        <w:t xml:space="preserve">2021 revenue: </w:t>
      </w:r>
      <w:r w:rsidRPr="008740E1">
        <w:rPr>
          <w:rFonts w:ascii="Segoe UI" w:hAnsi="Segoe UI" w:cs="Segoe UI"/>
          <w:color w:val="0D2345"/>
          <w:sz w:val="20"/>
          <w:szCs w:val="20"/>
        </w:rPr>
        <w:t>$638 million, 30% yoy recurring revenue growth</w:t>
      </w:r>
    </w:p>
    <w:p w14:paraId="3833473E" w14:textId="77777777" w:rsidR="00514A8D" w:rsidRDefault="00514A8D" w:rsidP="00C05CB5">
      <w:pPr>
        <w:pStyle w:val="PlainText"/>
        <w:rPr>
          <w:rFonts w:ascii="Tahoma" w:hAnsi="Tahoma" w:cs="Tahoma"/>
        </w:rPr>
      </w:pPr>
    </w:p>
    <w:p w14:paraId="2240DB6F" w14:textId="330127FF" w:rsidR="00E1197B" w:rsidRDefault="003A62D8" w:rsidP="006203A7">
      <w:pPr>
        <w:pStyle w:val="PlainText"/>
        <w:jc w:val="center"/>
        <w:rPr>
          <w:rFonts w:ascii="Tahoma" w:hAnsi="Tahoma" w:cs="Tahoma"/>
          <w:b/>
          <w:u w:val="single"/>
        </w:rPr>
      </w:pPr>
      <w:r w:rsidRPr="006203A7">
        <w:rPr>
          <w:rFonts w:ascii="Tahoma" w:hAnsi="Tahoma" w:cs="Tahoma"/>
          <w:b/>
          <w:u w:val="single"/>
        </w:rPr>
        <w:t>Brief Summary</w:t>
      </w:r>
      <w:r w:rsidR="004122F3" w:rsidRPr="006203A7">
        <w:rPr>
          <w:rFonts w:ascii="Tahoma" w:hAnsi="Tahoma" w:cs="Tahoma"/>
          <w:b/>
          <w:u w:val="single"/>
        </w:rPr>
        <w:t>:</w:t>
      </w:r>
    </w:p>
    <w:p w14:paraId="4E683A34" w14:textId="0F8DAB32" w:rsidR="008740E1" w:rsidRDefault="008740E1" w:rsidP="006203A7">
      <w:pPr>
        <w:pStyle w:val="PlainText"/>
        <w:jc w:val="center"/>
        <w:rPr>
          <w:rFonts w:ascii="Tahoma" w:hAnsi="Tahoma" w:cs="Tahoma"/>
          <w:b/>
          <w:u w:val="single"/>
        </w:rPr>
      </w:pPr>
    </w:p>
    <w:p w14:paraId="48ED4985" w14:textId="1F4A13EC" w:rsidR="008740E1" w:rsidRDefault="008740E1" w:rsidP="005022EE">
      <w:pPr>
        <w:pStyle w:val="PlainText"/>
        <w:rPr>
          <w:rFonts w:ascii="Tahoma" w:hAnsi="Tahoma" w:cs="Tahoma"/>
          <w:bCs/>
        </w:rPr>
      </w:pPr>
      <w:r w:rsidRPr="005022EE">
        <w:rPr>
          <w:rFonts w:ascii="Tahoma" w:hAnsi="Tahoma" w:cs="Tahoma"/>
          <w:bCs/>
        </w:rPr>
        <w:t xml:space="preserve">Alteryx has a number of current </w:t>
      </w:r>
      <w:r w:rsidR="005022EE" w:rsidRPr="005022EE">
        <w:rPr>
          <w:rFonts w:ascii="Tahoma" w:hAnsi="Tahoma" w:cs="Tahoma"/>
          <w:bCs/>
        </w:rPr>
        <w:t>customers</w:t>
      </w:r>
      <w:r w:rsidRPr="005022EE">
        <w:rPr>
          <w:rFonts w:ascii="Tahoma" w:hAnsi="Tahoma" w:cs="Tahoma"/>
          <w:bCs/>
        </w:rPr>
        <w:t xml:space="preserve"> with</w:t>
      </w:r>
      <w:r w:rsidR="00593370">
        <w:rPr>
          <w:rFonts w:ascii="Tahoma" w:hAnsi="Tahoma" w:cs="Tahoma"/>
          <w:bCs/>
        </w:rPr>
        <w:t>in</w:t>
      </w:r>
      <w:r w:rsidRPr="005022EE">
        <w:rPr>
          <w:rFonts w:ascii="Tahoma" w:hAnsi="Tahoma" w:cs="Tahoma"/>
          <w:bCs/>
        </w:rPr>
        <w:t xml:space="preserve"> the US Federal Government</w:t>
      </w:r>
      <w:r w:rsidR="005022EE" w:rsidRPr="005022EE">
        <w:rPr>
          <w:rFonts w:ascii="Tahoma" w:hAnsi="Tahoma" w:cs="Tahoma"/>
          <w:bCs/>
        </w:rPr>
        <w:t xml:space="preserve"> </w:t>
      </w:r>
      <w:r w:rsidR="00593370" w:rsidRPr="005022EE">
        <w:rPr>
          <w:rFonts w:ascii="Tahoma" w:hAnsi="Tahoma" w:cs="Tahoma"/>
          <w:bCs/>
        </w:rPr>
        <w:t>ecosystem</w:t>
      </w:r>
      <w:r w:rsidR="005022EE" w:rsidRPr="005022EE">
        <w:rPr>
          <w:rFonts w:ascii="Tahoma" w:hAnsi="Tahoma" w:cs="Tahoma"/>
          <w:bCs/>
        </w:rPr>
        <w:t xml:space="preserve">. Below represents just a sampling of the current customer base and uses cases where the Alteryx Analytics Platform is deployed. </w:t>
      </w:r>
    </w:p>
    <w:p w14:paraId="6E39281A" w14:textId="21C4645C" w:rsidR="005022EE" w:rsidRDefault="005022EE" w:rsidP="005022EE">
      <w:pPr>
        <w:pStyle w:val="PlainText"/>
        <w:rPr>
          <w:rFonts w:ascii="Tahoma" w:hAnsi="Tahoma" w:cs="Tahoma"/>
          <w:bCs/>
        </w:rPr>
      </w:pPr>
    </w:p>
    <w:p w14:paraId="064ADB17" w14:textId="6EDE50B2" w:rsidR="005022EE" w:rsidRPr="005022EE" w:rsidRDefault="005022EE" w:rsidP="005022EE">
      <w:pPr>
        <w:pStyle w:val="PlainText"/>
        <w:rPr>
          <w:rFonts w:ascii="Tahoma" w:hAnsi="Tahoma" w:cs="Tahoma"/>
          <w:bCs/>
        </w:rPr>
      </w:pPr>
      <w:r>
        <w:rPr>
          <w:noProof/>
        </w:rPr>
        <w:drawing>
          <wp:inline distT="0" distB="0" distL="0" distR="0" wp14:anchorId="61CAC1A9" wp14:editId="14D87DAF">
            <wp:extent cx="6309360" cy="3365500"/>
            <wp:effectExtent l="0" t="0" r="0" b="635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 b="5171"/>
                    <a:stretch/>
                  </pic:blipFill>
                  <pic:spPr bwMode="auto">
                    <a:xfrm>
                      <a:off x="0" y="0"/>
                      <a:ext cx="630936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EF6DC" w14:textId="77777777" w:rsidR="00E1197B" w:rsidRDefault="00E1197B" w:rsidP="006203A7">
      <w:pPr>
        <w:pStyle w:val="PlainText"/>
        <w:jc w:val="center"/>
        <w:rPr>
          <w:rFonts w:ascii="Tahoma" w:hAnsi="Tahoma" w:cs="Tahoma"/>
          <w:b/>
          <w:u w:val="single"/>
        </w:rPr>
      </w:pPr>
    </w:p>
    <w:p w14:paraId="74CE3A7A" w14:textId="7D065418" w:rsidR="00E1197B" w:rsidRPr="00593370" w:rsidRDefault="00593370" w:rsidP="00593370">
      <w:pPr>
        <w:pStyle w:val="PlainText"/>
        <w:rPr>
          <w:rFonts w:ascii="Segoe UI" w:hAnsi="Segoe UI" w:cs="Segoe UI"/>
          <w:b/>
          <w:bCs/>
          <w:sz w:val="24"/>
          <w:szCs w:val="24"/>
        </w:rPr>
      </w:pPr>
      <w:r w:rsidRPr="00593370">
        <w:rPr>
          <w:rFonts w:ascii="Segoe UI" w:hAnsi="Segoe UI" w:cs="Segoe UI"/>
          <w:b/>
          <w:bCs/>
          <w:sz w:val="24"/>
          <w:szCs w:val="24"/>
        </w:rPr>
        <w:t xml:space="preserve">As of February 2022, Trifacta is part  of Alteryx. </w:t>
      </w:r>
      <w:r w:rsidRPr="00593370">
        <w:rPr>
          <w:rFonts w:ascii="Segoe UI" w:hAnsi="Segoe UI" w:cs="Segoe UI"/>
          <w:sz w:val="24"/>
          <w:szCs w:val="24"/>
        </w:rPr>
        <w:t>With this acquisition</w:t>
      </w:r>
      <w:r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593370">
        <w:rPr>
          <w:rFonts w:ascii="Segoe UI" w:hAnsi="Segoe UI" w:cs="Segoe UI"/>
          <w:color w:val="000000"/>
          <w:sz w:val="24"/>
          <w:szCs w:val="24"/>
        </w:rPr>
        <w:t xml:space="preserve">Alteryx intends to combine its leading low code/no code analytics solution with Trifacta’s cloud native capabilities to offer flexible deployment options — on-premises, hybrid and cloud — to meet enterprise customers’ analytics needs. Alteryx will also continue to invest in its Designer and </w:t>
      </w:r>
      <w:r w:rsidRPr="00593370">
        <w:rPr>
          <w:rFonts w:ascii="Segoe UI" w:hAnsi="Segoe UI" w:cs="Segoe UI"/>
          <w:color w:val="000000"/>
          <w:sz w:val="24"/>
          <w:szCs w:val="24"/>
        </w:rPr>
        <w:lastRenderedPageBreak/>
        <w:t>Server products, providing customers with deployment flexibility for their analytic workloads whether on premises, hybrid or in the cloud.</w:t>
      </w:r>
    </w:p>
    <w:p w14:paraId="112648E8" w14:textId="04C7A5C1" w:rsidR="00593370" w:rsidRDefault="00593370" w:rsidP="00593370">
      <w:pPr>
        <w:pStyle w:val="PlainText"/>
        <w:rPr>
          <w:rFonts w:ascii="Tahoma" w:hAnsi="Tahoma" w:cs="Tahoma"/>
          <w:b/>
          <w:bCs/>
        </w:rPr>
      </w:pPr>
    </w:p>
    <w:p w14:paraId="7A2E9CCD" w14:textId="77777777" w:rsidR="00593370" w:rsidRDefault="00593370" w:rsidP="006203A7">
      <w:pPr>
        <w:pStyle w:val="PlainText"/>
        <w:jc w:val="center"/>
        <w:rPr>
          <w:rFonts w:ascii="Tahoma" w:hAnsi="Tahoma" w:cs="Tahoma"/>
          <w:b/>
          <w:bCs/>
        </w:rPr>
      </w:pPr>
    </w:p>
    <w:p w14:paraId="26A65C9F" w14:textId="77777777" w:rsidR="00E1197B" w:rsidRDefault="00E1197B" w:rsidP="006203A7">
      <w:pPr>
        <w:pStyle w:val="PlainText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Relevant topics may include, but not limited to:</w:t>
      </w:r>
    </w:p>
    <w:p w14:paraId="573C14CE" w14:textId="77777777" w:rsidR="00E1197B" w:rsidRDefault="00E1197B" w:rsidP="00E1197B">
      <w:pPr>
        <w:rPr>
          <w:rFonts w:asciiTheme="minorHAnsi" w:hAnsiTheme="minorHAnsi"/>
        </w:rPr>
      </w:pPr>
      <w:r>
        <w:t>Spatial Data Discovery</w:t>
      </w:r>
    </w:p>
    <w:p w14:paraId="7D33FEA1" w14:textId="77777777" w:rsidR="00E1197B" w:rsidRDefault="00E1197B" w:rsidP="00E1197B">
      <w:r>
        <w:t>Future Workplace Technology</w:t>
      </w:r>
    </w:p>
    <w:p w14:paraId="4EBC53CF" w14:textId="77777777" w:rsidR="00E1197B" w:rsidRDefault="00E1197B" w:rsidP="00E1197B">
      <w:r>
        <w:t>Supply Chain Management</w:t>
      </w:r>
    </w:p>
    <w:p w14:paraId="2F1FFBDA" w14:textId="77777777" w:rsidR="00E1197B" w:rsidRDefault="00E1197B" w:rsidP="00E1197B">
      <w:r>
        <w:t>Geospatial AI</w:t>
      </w:r>
    </w:p>
    <w:p w14:paraId="790DAB6A" w14:textId="4DEC4E55" w:rsidR="00E1197B" w:rsidRDefault="005022EE" w:rsidP="00E1197B">
      <w:r>
        <w:t xml:space="preserve">Advanced  Analytics </w:t>
      </w:r>
      <w:r w:rsidR="00E1197B">
        <w:t>Integrated BIM and GIS</w:t>
      </w:r>
    </w:p>
    <w:p w14:paraId="7596FB96" w14:textId="77777777" w:rsidR="00E1197B" w:rsidRDefault="00E1197B" w:rsidP="00E1197B">
      <w:r>
        <w:t>Disaster and Risk Management</w:t>
      </w:r>
    </w:p>
    <w:p w14:paraId="499993A7" w14:textId="5B5DDBE3" w:rsidR="00E1197B" w:rsidRDefault="00E1197B" w:rsidP="00E1197B">
      <w:r>
        <w:t>Analysis and Visualization</w:t>
      </w:r>
    </w:p>
    <w:p w14:paraId="23C23F0B" w14:textId="77777777" w:rsidR="00E1197B" w:rsidRDefault="00E1197B" w:rsidP="00E1197B">
      <w:r>
        <w:t>Model Web, Geospatial Workflows and Service Composition</w:t>
      </w:r>
    </w:p>
    <w:p w14:paraId="6DF94682" w14:textId="77777777" w:rsidR="00E1197B" w:rsidRDefault="00E1197B" w:rsidP="00E1197B">
      <w:r>
        <w:t>Spatiotemporal Data Acquisition, Modelling, and Analysis</w:t>
      </w:r>
    </w:p>
    <w:p w14:paraId="4BF417EE" w14:textId="77777777" w:rsidR="00E1197B" w:rsidRDefault="00E1197B" w:rsidP="006203A7">
      <w:pPr>
        <w:pStyle w:val="PlainText"/>
        <w:jc w:val="center"/>
        <w:rPr>
          <w:rFonts w:ascii="Tahoma" w:hAnsi="Tahoma" w:cs="Tahoma"/>
          <w:b/>
          <w:bCs/>
        </w:rPr>
      </w:pPr>
    </w:p>
    <w:p w14:paraId="6E46D28F" w14:textId="77777777" w:rsidR="00E1197B" w:rsidRDefault="00E1197B" w:rsidP="006203A7">
      <w:pPr>
        <w:pStyle w:val="PlainText"/>
        <w:jc w:val="center"/>
        <w:rPr>
          <w:rFonts w:ascii="Tahoma" w:hAnsi="Tahoma" w:cs="Tahoma"/>
          <w:b/>
          <w:bCs/>
        </w:rPr>
      </w:pPr>
    </w:p>
    <w:p w14:paraId="2E08B4A2" w14:textId="77777777" w:rsidR="006203A7" w:rsidRPr="006203A7" w:rsidRDefault="00E1197B" w:rsidP="006203A7">
      <w:pPr>
        <w:pStyle w:val="PlainText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u w:val="single"/>
        </w:rPr>
        <w:t>Visit us during GEOINT 2021</w:t>
      </w:r>
    </w:p>
    <w:p w14:paraId="1F0667EC" w14:textId="62008052" w:rsidR="006203A7" w:rsidRDefault="00E1197B" w:rsidP="006203A7">
      <w:pPr>
        <w:pStyle w:val="PlainText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Booth #</w:t>
      </w:r>
      <w:r w:rsidR="00AE29ED">
        <w:rPr>
          <w:rFonts w:ascii="Tahoma" w:hAnsi="Tahoma" w:cs="Tahoma"/>
        </w:rPr>
        <w:t>1405</w:t>
      </w:r>
      <w:bookmarkStart w:id="0" w:name="_GoBack"/>
      <w:bookmarkEnd w:id="0"/>
    </w:p>
    <w:p w14:paraId="53CD7DA2" w14:textId="77777777" w:rsidR="00E1197B" w:rsidRDefault="00E1197B" w:rsidP="006203A7">
      <w:pPr>
        <w:pStyle w:val="PlainText"/>
        <w:jc w:val="center"/>
        <w:rPr>
          <w:rFonts w:ascii="Tahoma" w:hAnsi="Tahoma" w:cs="Tahoma"/>
        </w:rPr>
      </w:pPr>
    </w:p>
    <w:p w14:paraId="0D5992D6" w14:textId="77777777" w:rsidR="006203A7" w:rsidRPr="00063779" w:rsidRDefault="006203A7" w:rsidP="006203A7">
      <w:pPr>
        <w:pStyle w:val="PlainText"/>
        <w:rPr>
          <w:rFonts w:ascii="Tahoma" w:hAnsi="Tahoma" w:cs="Tahoma"/>
        </w:rPr>
      </w:pPr>
    </w:p>
    <w:sectPr w:rsidR="006203A7" w:rsidRPr="00063779" w:rsidSect="008F2614">
      <w:headerReference w:type="default" r:id="rId9"/>
      <w:pgSz w:w="12240" w:h="15840"/>
      <w:pgMar w:top="1152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84C75" w14:textId="77777777" w:rsidR="007A6B60" w:rsidRDefault="007A6B60" w:rsidP="00E1197B">
      <w:r>
        <w:separator/>
      </w:r>
    </w:p>
  </w:endnote>
  <w:endnote w:type="continuationSeparator" w:id="0">
    <w:p w14:paraId="0ABE808D" w14:textId="77777777" w:rsidR="007A6B60" w:rsidRDefault="007A6B60" w:rsidP="00E11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2CD32" w14:textId="77777777" w:rsidR="007A6B60" w:rsidRDefault="007A6B60" w:rsidP="00E1197B">
      <w:r>
        <w:separator/>
      </w:r>
    </w:p>
  </w:footnote>
  <w:footnote w:type="continuationSeparator" w:id="0">
    <w:p w14:paraId="67C06CCB" w14:textId="77777777" w:rsidR="007A6B60" w:rsidRDefault="007A6B60" w:rsidP="00E11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77246" w14:textId="6C4D0688" w:rsidR="00E1197B" w:rsidRDefault="00AE29ED" w:rsidP="00AE29ED">
    <w:pPr>
      <w:pStyle w:val="Header"/>
      <w:jc w:val="right"/>
    </w:pPr>
    <w:r>
      <w:pict w14:anchorId="2AEF0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9.5pt;height:37.05pt">
          <v:imagedata r:id="rId1" o:title="alteryx_logo_blue-01-01 (1)"/>
        </v:shape>
      </w:pict>
    </w:r>
  </w:p>
  <w:p w14:paraId="77579881" w14:textId="77777777" w:rsidR="00E1197B" w:rsidRDefault="00E119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B6141"/>
    <w:multiLevelType w:val="hybridMultilevel"/>
    <w:tmpl w:val="A4803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9164E"/>
    <w:multiLevelType w:val="hybridMultilevel"/>
    <w:tmpl w:val="E7E86040"/>
    <w:lvl w:ilvl="0" w:tplc="B8F896D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44A4A"/>
    <w:multiLevelType w:val="hybridMultilevel"/>
    <w:tmpl w:val="6A361438"/>
    <w:lvl w:ilvl="0" w:tplc="B8F896D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B27F9"/>
    <w:multiLevelType w:val="hybridMultilevel"/>
    <w:tmpl w:val="C80AB7FA"/>
    <w:lvl w:ilvl="0" w:tplc="3D0A1682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4C5705"/>
    <w:multiLevelType w:val="hybridMultilevel"/>
    <w:tmpl w:val="3108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51730"/>
    <w:multiLevelType w:val="hybridMultilevel"/>
    <w:tmpl w:val="6ECADE82"/>
    <w:lvl w:ilvl="0" w:tplc="ED3CA5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110DC"/>
    <w:multiLevelType w:val="hybridMultilevel"/>
    <w:tmpl w:val="8DDA45D0"/>
    <w:lvl w:ilvl="0" w:tplc="ED3CA5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7318C"/>
    <w:multiLevelType w:val="hybridMultilevel"/>
    <w:tmpl w:val="4F222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AE535C">
      <w:numFmt w:val="bullet"/>
      <w:lvlText w:val="-"/>
      <w:lvlJc w:val="left"/>
      <w:pPr>
        <w:ind w:left="1800" w:hanging="360"/>
      </w:pPr>
      <w:rPr>
        <w:rFonts w:ascii="Tahoma" w:eastAsia="Calibri" w:hAnsi="Tahoma" w:cs="Tahoma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7D4190"/>
    <w:multiLevelType w:val="hybridMultilevel"/>
    <w:tmpl w:val="1842FC64"/>
    <w:lvl w:ilvl="0" w:tplc="B8F896D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318D"/>
    <w:multiLevelType w:val="hybridMultilevel"/>
    <w:tmpl w:val="BC709A5A"/>
    <w:lvl w:ilvl="0" w:tplc="2E805A4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1259F"/>
    <w:multiLevelType w:val="hybridMultilevel"/>
    <w:tmpl w:val="D21044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211B08"/>
    <w:multiLevelType w:val="hybridMultilevel"/>
    <w:tmpl w:val="78B09658"/>
    <w:lvl w:ilvl="0" w:tplc="B8F896D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31F"/>
    <w:multiLevelType w:val="hybridMultilevel"/>
    <w:tmpl w:val="9426FDC8"/>
    <w:lvl w:ilvl="0" w:tplc="EDAEBC40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661062"/>
    <w:multiLevelType w:val="hybridMultilevel"/>
    <w:tmpl w:val="31980236"/>
    <w:lvl w:ilvl="0" w:tplc="FF8062FE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65948"/>
    <w:multiLevelType w:val="hybridMultilevel"/>
    <w:tmpl w:val="B0EE3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6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B5"/>
    <w:rsid w:val="000529AC"/>
    <w:rsid w:val="00063779"/>
    <w:rsid w:val="001146FC"/>
    <w:rsid w:val="001349CD"/>
    <w:rsid w:val="002728D9"/>
    <w:rsid w:val="00322B3E"/>
    <w:rsid w:val="0033488B"/>
    <w:rsid w:val="003A62D8"/>
    <w:rsid w:val="003F2669"/>
    <w:rsid w:val="004122F3"/>
    <w:rsid w:val="00443C6D"/>
    <w:rsid w:val="0046592D"/>
    <w:rsid w:val="005022EE"/>
    <w:rsid w:val="00514A8D"/>
    <w:rsid w:val="00574652"/>
    <w:rsid w:val="00593370"/>
    <w:rsid w:val="006203A7"/>
    <w:rsid w:val="00785399"/>
    <w:rsid w:val="007A6B60"/>
    <w:rsid w:val="007D1028"/>
    <w:rsid w:val="00857238"/>
    <w:rsid w:val="008740E1"/>
    <w:rsid w:val="00881EC3"/>
    <w:rsid w:val="008B5313"/>
    <w:rsid w:val="008F2614"/>
    <w:rsid w:val="009051B3"/>
    <w:rsid w:val="00934FF2"/>
    <w:rsid w:val="00A44927"/>
    <w:rsid w:val="00A91684"/>
    <w:rsid w:val="00AE29ED"/>
    <w:rsid w:val="00AF0939"/>
    <w:rsid w:val="00B53BE0"/>
    <w:rsid w:val="00B73371"/>
    <w:rsid w:val="00BC7EFD"/>
    <w:rsid w:val="00BE0EBA"/>
    <w:rsid w:val="00BE5A2E"/>
    <w:rsid w:val="00C05CB5"/>
    <w:rsid w:val="00D46629"/>
    <w:rsid w:val="00D85A0E"/>
    <w:rsid w:val="00E1197B"/>
    <w:rsid w:val="00E54B47"/>
    <w:rsid w:val="00F1689E"/>
    <w:rsid w:val="00FD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9142E6"/>
  <w15:docId w15:val="{BAB6CB51-E5FB-4962-8689-919F74F3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CB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5CB5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5CB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05CB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05CB5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E11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97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119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97B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Chahalis</dc:creator>
  <cp:lastModifiedBy>Savana Rota</cp:lastModifiedBy>
  <cp:revision>2</cp:revision>
  <dcterms:created xsi:type="dcterms:W3CDTF">2022-03-11T14:31:00Z</dcterms:created>
  <dcterms:modified xsi:type="dcterms:W3CDTF">2022-03-11T14:31:00Z</dcterms:modified>
</cp:coreProperties>
</file>