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097C5" w14:textId="2D6DD645" w:rsidR="004122F3" w:rsidRPr="00AF0939" w:rsidRDefault="009B0256" w:rsidP="00C05CB5">
      <w:pPr>
        <w:pStyle w:val="PlainText"/>
        <w:jc w:val="center"/>
        <w:rPr>
          <w:rFonts w:ascii="Tahoma" w:hAnsi="Tahoma" w:cs="Tahoma"/>
          <w:b/>
          <w:sz w:val="24"/>
          <w:szCs w:val="24"/>
        </w:rPr>
      </w:pPr>
      <w:proofErr w:type="spellStart"/>
      <w:r>
        <w:rPr>
          <w:rFonts w:ascii="Tahoma" w:hAnsi="Tahoma" w:cs="Tahoma"/>
          <w:b/>
          <w:sz w:val="24"/>
          <w:szCs w:val="24"/>
        </w:rPr>
        <w:t>Tetrate</w:t>
      </w:r>
      <w:proofErr w:type="spellEnd"/>
      <w:r>
        <w:rPr>
          <w:rFonts w:ascii="Tahoma" w:hAnsi="Tahoma" w:cs="Tahoma"/>
          <w:b/>
          <w:sz w:val="24"/>
          <w:szCs w:val="24"/>
        </w:rPr>
        <w:t xml:space="preserve"> </w:t>
      </w:r>
    </w:p>
    <w:p w14:paraId="703B4FFB" w14:textId="6C8D4BA8" w:rsidR="00514A8D" w:rsidRDefault="009B0256" w:rsidP="0033488B">
      <w:pPr>
        <w:pStyle w:val="PlainText"/>
        <w:jc w:val="center"/>
        <w:rPr>
          <w:rFonts w:ascii="Tahoma" w:hAnsi="Tahoma" w:cs="Tahoma"/>
          <w:i/>
        </w:rPr>
      </w:pPr>
      <w:r>
        <w:rPr>
          <w:rFonts w:ascii="Tahoma" w:hAnsi="Tahoma" w:cs="Tahoma"/>
          <w:i/>
        </w:rPr>
        <w:t>The Service Mesh Company</w:t>
      </w:r>
    </w:p>
    <w:p w14:paraId="2E785449" w14:textId="77777777" w:rsidR="0033488B" w:rsidRDefault="0033488B" w:rsidP="009051B3">
      <w:pPr>
        <w:pStyle w:val="PlainText"/>
        <w:jc w:val="center"/>
        <w:rPr>
          <w:rFonts w:ascii="Tahoma" w:hAnsi="Tahoma" w:cs="Tahoma"/>
          <w:i/>
        </w:rPr>
      </w:pPr>
    </w:p>
    <w:p w14:paraId="74D223C9" w14:textId="600C82DB" w:rsidR="004122F3" w:rsidRPr="009B0256" w:rsidRDefault="009B0256" w:rsidP="009B0256">
      <w:pPr>
        <w:pStyle w:val="NormalWeb"/>
        <w:shd w:val="clear" w:color="auto" w:fill="FFFFFF"/>
        <w:spacing w:before="0" w:beforeAutospacing="0" w:after="375" w:afterAutospacing="0"/>
        <w:textAlignment w:val="baseline"/>
        <w:rPr>
          <w:rFonts w:ascii="Arial" w:hAnsi="Arial" w:cs="Arial"/>
          <w:color w:val="565656"/>
        </w:rPr>
      </w:pPr>
      <w:proofErr w:type="spellStart"/>
      <w:r>
        <w:rPr>
          <w:rFonts w:ascii="Arial" w:hAnsi="Arial" w:cs="Arial"/>
          <w:color w:val="565656"/>
        </w:rPr>
        <w:t>Tetrate</w:t>
      </w:r>
      <w:proofErr w:type="spellEnd"/>
      <w:r>
        <w:rPr>
          <w:rFonts w:ascii="Arial" w:hAnsi="Arial" w:cs="Arial"/>
          <w:color w:val="565656"/>
        </w:rPr>
        <w:t xml:space="preserve"> Service Bridge, powered by Istio and Envoy, is a self-service, multi-tenant platform to weave and manage the service mesh across VMs and Kubernetes clusters, on-prem and cloud. Developers, security engineers, and operations engineers across multiple teams can safely and securely manage their services without impacting others. A rich set of ecosystem integrations will simplify adoption in enterprise environments.</w:t>
      </w:r>
    </w:p>
    <w:p w14:paraId="3CB3D9F8" w14:textId="6D63C958" w:rsidR="004122F3" w:rsidRDefault="009051B3" w:rsidP="004122F3">
      <w:pPr>
        <w:pStyle w:val="PlainText"/>
        <w:jc w:val="center"/>
        <w:rPr>
          <w:rFonts w:ascii="Tahoma" w:hAnsi="Tahoma" w:cs="Tahoma"/>
          <w:b/>
          <w:u w:val="single"/>
        </w:rPr>
      </w:pPr>
      <w:r w:rsidRPr="0033488B">
        <w:rPr>
          <w:rFonts w:ascii="Tahoma" w:hAnsi="Tahoma" w:cs="Tahoma"/>
          <w:b/>
          <w:u w:val="single"/>
        </w:rPr>
        <w:t>Key Contacts</w:t>
      </w:r>
      <w:r w:rsidR="00136B63">
        <w:rPr>
          <w:rFonts w:ascii="Tahoma" w:hAnsi="Tahoma" w:cs="Tahoma"/>
          <w:b/>
          <w:u w:val="single"/>
        </w:rPr>
        <w:t>:</w:t>
      </w:r>
    </w:p>
    <w:p w14:paraId="5ABDD3FC" w14:textId="7307503F" w:rsidR="0033488B" w:rsidRPr="009B0256" w:rsidRDefault="0033488B" w:rsidP="0033488B">
      <w:pPr>
        <w:pStyle w:val="PlainText"/>
        <w:numPr>
          <w:ilvl w:val="0"/>
          <w:numId w:val="11"/>
        </w:numPr>
        <w:rPr>
          <w:rFonts w:ascii="Arial" w:eastAsia="Times New Roman" w:hAnsi="Arial" w:cs="Arial"/>
          <w:color w:val="565656"/>
          <w:sz w:val="24"/>
          <w:szCs w:val="24"/>
        </w:rPr>
      </w:pPr>
      <w:r w:rsidRPr="009B0256">
        <w:rPr>
          <w:rFonts w:ascii="Arial" w:eastAsia="Times New Roman" w:hAnsi="Arial" w:cs="Arial"/>
          <w:color w:val="565656"/>
          <w:sz w:val="24"/>
          <w:szCs w:val="24"/>
        </w:rPr>
        <w:t xml:space="preserve">Currently implemented at </w:t>
      </w:r>
      <w:r w:rsidR="00136B63" w:rsidRPr="009B0256">
        <w:rPr>
          <w:rFonts w:ascii="Arial" w:eastAsia="Times New Roman" w:hAnsi="Arial" w:cs="Arial"/>
          <w:color w:val="565656"/>
          <w:sz w:val="24"/>
          <w:szCs w:val="24"/>
        </w:rPr>
        <w:t xml:space="preserve">USAF Platform One </w:t>
      </w:r>
      <w:r w:rsidR="00761D40" w:rsidRPr="009B0256">
        <w:rPr>
          <w:rFonts w:ascii="Arial" w:eastAsia="Times New Roman" w:hAnsi="Arial" w:cs="Arial"/>
          <w:color w:val="565656"/>
          <w:sz w:val="24"/>
          <w:szCs w:val="24"/>
        </w:rPr>
        <w:t>through</w:t>
      </w:r>
      <w:r w:rsidR="00136B63" w:rsidRPr="009B0256">
        <w:rPr>
          <w:rFonts w:ascii="Arial" w:eastAsia="Times New Roman" w:hAnsi="Arial" w:cs="Arial"/>
          <w:color w:val="565656"/>
          <w:sz w:val="24"/>
          <w:szCs w:val="24"/>
        </w:rPr>
        <w:t xml:space="preserve"> Phase III SBIR</w:t>
      </w:r>
    </w:p>
    <w:p w14:paraId="553606BE" w14:textId="4BC91050" w:rsidR="00FD19E5" w:rsidRPr="009B0256" w:rsidRDefault="00136B63" w:rsidP="0033488B">
      <w:pPr>
        <w:pStyle w:val="PlainText"/>
        <w:numPr>
          <w:ilvl w:val="0"/>
          <w:numId w:val="11"/>
        </w:numPr>
        <w:rPr>
          <w:rFonts w:ascii="Arial" w:eastAsia="Times New Roman" w:hAnsi="Arial" w:cs="Arial"/>
          <w:color w:val="565656"/>
          <w:sz w:val="24"/>
          <w:szCs w:val="24"/>
        </w:rPr>
      </w:pPr>
      <w:r w:rsidRPr="009B0256">
        <w:rPr>
          <w:rFonts w:ascii="Arial" w:eastAsia="Times New Roman" w:hAnsi="Arial" w:cs="Arial"/>
          <w:color w:val="565656"/>
          <w:sz w:val="24"/>
          <w:szCs w:val="24"/>
        </w:rPr>
        <w:t>NIST partnership for Next Generation Access Control (NGAC) and coauthor on NIST 800-204 series</w:t>
      </w:r>
    </w:p>
    <w:p w14:paraId="14AD82E3" w14:textId="77777777" w:rsidR="00FD19E5" w:rsidRPr="0033488B" w:rsidRDefault="00FD19E5" w:rsidP="0033488B">
      <w:pPr>
        <w:pStyle w:val="PlainText"/>
        <w:jc w:val="center"/>
        <w:rPr>
          <w:rFonts w:ascii="Tahoma" w:hAnsi="Tahoma" w:cs="Tahoma"/>
          <w:b/>
        </w:rPr>
      </w:pPr>
      <w:r w:rsidRPr="0033488B">
        <w:rPr>
          <w:rFonts w:ascii="Tahoma" w:hAnsi="Tahoma" w:cs="Tahoma"/>
          <w:b/>
          <w:u w:val="single"/>
        </w:rPr>
        <w:t>Company Overview</w:t>
      </w:r>
    </w:p>
    <w:p w14:paraId="5F830C77" w14:textId="1344FC26" w:rsidR="008F2614" w:rsidRPr="009B0256" w:rsidRDefault="00136B63" w:rsidP="009B0256">
      <w:pPr>
        <w:pStyle w:val="PlainText"/>
        <w:numPr>
          <w:ilvl w:val="0"/>
          <w:numId w:val="11"/>
        </w:numPr>
        <w:rPr>
          <w:rFonts w:ascii="Arial" w:eastAsia="Times New Roman" w:hAnsi="Arial" w:cs="Arial"/>
          <w:color w:val="565656"/>
          <w:sz w:val="24"/>
          <w:szCs w:val="24"/>
        </w:rPr>
      </w:pPr>
      <w:proofErr w:type="spellStart"/>
      <w:r w:rsidRPr="009B0256">
        <w:rPr>
          <w:rFonts w:ascii="Arial" w:eastAsia="Times New Roman" w:hAnsi="Arial" w:cs="Arial"/>
          <w:color w:val="565656"/>
          <w:sz w:val="24"/>
          <w:szCs w:val="24"/>
        </w:rPr>
        <w:t>Tetrate</w:t>
      </w:r>
      <w:proofErr w:type="spellEnd"/>
      <w:r w:rsidR="00E1197B" w:rsidRPr="009B0256">
        <w:rPr>
          <w:rFonts w:ascii="Arial" w:eastAsia="Times New Roman" w:hAnsi="Arial" w:cs="Arial"/>
          <w:color w:val="565656"/>
          <w:sz w:val="24"/>
          <w:szCs w:val="24"/>
        </w:rPr>
        <w:t xml:space="preserve"> was founded in 20</w:t>
      </w:r>
      <w:r w:rsidRPr="009B0256">
        <w:rPr>
          <w:rFonts w:ascii="Arial" w:eastAsia="Times New Roman" w:hAnsi="Arial" w:cs="Arial"/>
          <w:color w:val="565656"/>
          <w:sz w:val="24"/>
          <w:szCs w:val="24"/>
        </w:rPr>
        <w:t>18</w:t>
      </w:r>
    </w:p>
    <w:p w14:paraId="41820E71" w14:textId="4C4C1741" w:rsidR="004122F3" w:rsidRPr="009B0256" w:rsidRDefault="00761D40" w:rsidP="009B0256">
      <w:pPr>
        <w:pStyle w:val="PlainText"/>
        <w:numPr>
          <w:ilvl w:val="0"/>
          <w:numId w:val="11"/>
        </w:numPr>
        <w:rPr>
          <w:rFonts w:ascii="Arial" w:eastAsia="Times New Roman" w:hAnsi="Arial" w:cs="Arial"/>
          <w:color w:val="565656"/>
          <w:sz w:val="24"/>
          <w:szCs w:val="24"/>
        </w:rPr>
      </w:pPr>
      <w:r w:rsidRPr="009B0256">
        <w:rPr>
          <w:rFonts w:ascii="Arial" w:eastAsia="Times New Roman" w:hAnsi="Arial" w:cs="Arial"/>
          <w:color w:val="565656"/>
          <w:sz w:val="24"/>
          <w:szCs w:val="24"/>
        </w:rPr>
        <w:t>Gartner Cool Vendor 2021</w:t>
      </w:r>
    </w:p>
    <w:p w14:paraId="3570DD64" w14:textId="0F1D141F" w:rsidR="0033488B" w:rsidRPr="009B0256" w:rsidRDefault="00574652" w:rsidP="009B0256">
      <w:pPr>
        <w:pStyle w:val="PlainText"/>
        <w:numPr>
          <w:ilvl w:val="0"/>
          <w:numId w:val="11"/>
        </w:numPr>
        <w:rPr>
          <w:rFonts w:ascii="Arial" w:eastAsia="Times New Roman" w:hAnsi="Arial" w:cs="Arial"/>
          <w:color w:val="565656"/>
          <w:sz w:val="24"/>
          <w:szCs w:val="24"/>
        </w:rPr>
      </w:pPr>
      <w:r w:rsidRPr="009B0256">
        <w:rPr>
          <w:rFonts w:ascii="Arial" w:eastAsia="Times New Roman" w:hAnsi="Arial" w:cs="Arial"/>
          <w:color w:val="565656"/>
          <w:sz w:val="24"/>
          <w:szCs w:val="24"/>
        </w:rPr>
        <w:t>Significant</w:t>
      </w:r>
      <w:r w:rsidR="0033488B" w:rsidRPr="009B0256">
        <w:rPr>
          <w:rFonts w:ascii="Arial" w:eastAsia="Times New Roman" w:hAnsi="Arial" w:cs="Arial"/>
          <w:color w:val="565656"/>
          <w:sz w:val="24"/>
          <w:szCs w:val="24"/>
        </w:rPr>
        <w:t xml:space="preserve"> </w:t>
      </w:r>
      <w:r w:rsidR="00761D40" w:rsidRPr="009B0256">
        <w:rPr>
          <w:rFonts w:ascii="Arial" w:eastAsia="Times New Roman" w:hAnsi="Arial" w:cs="Arial"/>
          <w:color w:val="565656"/>
          <w:sz w:val="24"/>
          <w:szCs w:val="24"/>
        </w:rPr>
        <w:t>Government</w:t>
      </w:r>
      <w:r w:rsidR="0033488B" w:rsidRPr="009B0256">
        <w:rPr>
          <w:rFonts w:ascii="Arial" w:eastAsia="Times New Roman" w:hAnsi="Arial" w:cs="Arial"/>
          <w:color w:val="565656"/>
          <w:sz w:val="24"/>
          <w:szCs w:val="24"/>
        </w:rPr>
        <w:t xml:space="preserve"> investment in </w:t>
      </w:r>
      <w:r w:rsidR="00761D40" w:rsidRPr="009B0256">
        <w:rPr>
          <w:rFonts w:ascii="Arial" w:eastAsia="Times New Roman" w:hAnsi="Arial" w:cs="Arial"/>
          <w:color w:val="565656"/>
          <w:sz w:val="24"/>
          <w:szCs w:val="24"/>
        </w:rPr>
        <w:t>Istio and Envoy</w:t>
      </w:r>
      <w:r w:rsidR="00E1197B" w:rsidRPr="009B0256">
        <w:rPr>
          <w:rFonts w:ascii="Arial" w:eastAsia="Times New Roman" w:hAnsi="Arial" w:cs="Arial"/>
          <w:color w:val="565656"/>
          <w:sz w:val="24"/>
          <w:szCs w:val="24"/>
        </w:rPr>
        <w:t xml:space="preserve"> pro</w:t>
      </w:r>
      <w:r w:rsidR="00761D40" w:rsidRPr="009B0256">
        <w:rPr>
          <w:rFonts w:ascii="Arial" w:eastAsia="Times New Roman" w:hAnsi="Arial" w:cs="Arial"/>
          <w:color w:val="565656"/>
          <w:sz w:val="24"/>
          <w:szCs w:val="24"/>
        </w:rPr>
        <w:t>jects (FIPs verified distribution)</w:t>
      </w:r>
    </w:p>
    <w:p w14:paraId="45EA2516" w14:textId="73119DB4" w:rsidR="003A62D8" w:rsidRPr="009B0256" w:rsidRDefault="003A62D8" w:rsidP="009B0256">
      <w:pPr>
        <w:pStyle w:val="PlainText"/>
        <w:numPr>
          <w:ilvl w:val="0"/>
          <w:numId w:val="11"/>
        </w:numPr>
        <w:rPr>
          <w:rFonts w:ascii="Arial" w:eastAsia="Times New Roman" w:hAnsi="Arial" w:cs="Arial"/>
          <w:color w:val="565656"/>
          <w:sz w:val="24"/>
          <w:szCs w:val="24"/>
        </w:rPr>
      </w:pPr>
      <w:r w:rsidRPr="009B0256">
        <w:rPr>
          <w:rFonts w:ascii="Arial" w:eastAsia="Times New Roman" w:hAnsi="Arial" w:cs="Arial"/>
          <w:color w:val="565656"/>
          <w:sz w:val="24"/>
          <w:szCs w:val="24"/>
        </w:rPr>
        <w:t xml:space="preserve">Rich </w:t>
      </w:r>
      <w:r w:rsidR="00136B63" w:rsidRPr="009B0256">
        <w:rPr>
          <w:rFonts w:ascii="Arial" w:eastAsia="Times New Roman" w:hAnsi="Arial" w:cs="Arial"/>
          <w:color w:val="565656"/>
          <w:sz w:val="24"/>
          <w:szCs w:val="24"/>
        </w:rPr>
        <w:t xml:space="preserve">commercial </w:t>
      </w:r>
      <w:r w:rsidRPr="009B0256">
        <w:rPr>
          <w:rFonts w:ascii="Arial" w:eastAsia="Times New Roman" w:hAnsi="Arial" w:cs="Arial"/>
          <w:color w:val="565656"/>
          <w:sz w:val="24"/>
          <w:szCs w:val="24"/>
        </w:rPr>
        <w:t>customer base</w:t>
      </w:r>
      <w:r w:rsidR="00136B63" w:rsidRPr="009B0256">
        <w:rPr>
          <w:rFonts w:ascii="Arial" w:eastAsia="Times New Roman" w:hAnsi="Arial" w:cs="Arial"/>
          <w:color w:val="565656"/>
          <w:sz w:val="24"/>
          <w:szCs w:val="24"/>
        </w:rPr>
        <w:t xml:space="preserve">: MicroStrategy, WEX, </w:t>
      </w:r>
      <w:proofErr w:type="spellStart"/>
      <w:r w:rsidR="00761D40" w:rsidRPr="009B0256">
        <w:rPr>
          <w:rFonts w:ascii="Arial" w:eastAsia="Times New Roman" w:hAnsi="Arial" w:cs="Arial"/>
          <w:color w:val="565656"/>
          <w:sz w:val="24"/>
          <w:szCs w:val="24"/>
        </w:rPr>
        <w:t>FlexPort</w:t>
      </w:r>
      <w:proofErr w:type="spellEnd"/>
      <w:r w:rsidR="00761D40" w:rsidRPr="009B0256">
        <w:rPr>
          <w:rFonts w:ascii="Arial" w:eastAsia="Times New Roman" w:hAnsi="Arial" w:cs="Arial"/>
          <w:color w:val="565656"/>
          <w:sz w:val="24"/>
          <w:szCs w:val="24"/>
        </w:rPr>
        <w:t>, GAP, Age of Learning, VISA, FICO, Freddie Mac, KPMG</w:t>
      </w:r>
    </w:p>
    <w:p w14:paraId="429D9C14" w14:textId="3583FF95" w:rsidR="00AF0939" w:rsidRPr="009B0256" w:rsidRDefault="0033488B" w:rsidP="009B0256">
      <w:pPr>
        <w:pStyle w:val="PlainText"/>
        <w:numPr>
          <w:ilvl w:val="0"/>
          <w:numId w:val="11"/>
        </w:numPr>
        <w:rPr>
          <w:rFonts w:ascii="Arial" w:eastAsia="Times New Roman" w:hAnsi="Arial" w:cs="Arial"/>
          <w:color w:val="565656"/>
          <w:sz w:val="24"/>
          <w:szCs w:val="24"/>
        </w:rPr>
      </w:pPr>
      <w:r w:rsidRPr="009B0256">
        <w:rPr>
          <w:rFonts w:ascii="Arial" w:eastAsia="Times New Roman" w:hAnsi="Arial" w:cs="Arial"/>
          <w:color w:val="565656"/>
          <w:sz w:val="24"/>
          <w:szCs w:val="24"/>
        </w:rPr>
        <w:t>Government customers</w:t>
      </w:r>
      <w:r w:rsidR="00761D40" w:rsidRPr="009B0256">
        <w:rPr>
          <w:rFonts w:ascii="Arial" w:eastAsia="Times New Roman" w:hAnsi="Arial" w:cs="Arial"/>
          <w:color w:val="565656"/>
          <w:sz w:val="24"/>
          <w:szCs w:val="24"/>
        </w:rPr>
        <w:t xml:space="preserve">: </w:t>
      </w:r>
      <w:r w:rsidR="00136B63" w:rsidRPr="009B0256">
        <w:rPr>
          <w:rFonts w:ascii="Arial" w:eastAsia="Times New Roman" w:hAnsi="Arial" w:cs="Arial"/>
          <w:color w:val="565656"/>
          <w:sz w:val="24"/>
          <w:szCs w:val="24"/>
        </w:rPr>
        <w:t>USAF</w:t>
      </w:r>
      <w:r w:rsidR="00761D40" w:rsidRPr="009B0256">
        <w:rPr>
          <w:rFonts w:ascii="Arial" w:eastAsia="Times New Roman" w:hAnsi="Arial" w:cs="Arial"/>
          <w:color w:val="565656"/>
          <w:sz w:val="24"/>
          <w:szCs w:val="24"/>
        </w:rPr>
        <w:t xml:space="preserve"> Platform One</w:t>
      </w:r>
    </w:p>
    <w:p w14:paraId="33797200" w14:textId="77777777" w:rsidR="00514A8D" w:rsidRDefault="00514A8D" w:rsidP="00C05CB5">
      <w:pPr>
        <w:pStyle w:val="PlainText"/>
        <w:rPr>
          <w:rFonts w:ascii="Tahoma" w:hAnsi="Tahoma" w:cs="Tahoma"/>
        </w:rPr>
      </w:pPr>
    </w:p>
    <w:p w14:paraId="55172F75" w14:textId="77777777" w:rsidR="00E1197B" w:rsidRDefault="003A62D8" w:rsidP="006203A7">
      <w:pPr>
        <w:pStyle w:val="PlainText"/>
        <w:jc w:val="center"/>
        <w:rPr>
          <w:rFonts w:ascii="Tahoma" w:hAnsi="Tahoma" w:cs="Tahoma"/>
          <w:b/>
          <w:u w:val="single"/>
        </w:rPr>
      </w:pPr>
      <w:r w:rsidRPr="006203A7">
        <w:rPr>
          <w:rFonts w:ascii="Tahoma" w:hAnsi="Tahoma" w:cs="Tahoma"/>
          <w:b/>
          <w:u w:val="single"/>
        </w:rPr>
        <w:t>Brief Summary</w:t>
      </w:r>
      <w:r w:rsidR="004122F3" w:rsidRPr="006203A7">
        <w:rPr>
          <w:rFonts w:ascii="Tahoma" w:hAnsi="Tahoma" w:cs="Tahoma"/>
          <w:b/>
          <w:u w:val="single"/>
        </w:rPr>
        <w:t>:</w:t>
      </w:r>
    </w:p>
    <w:p w14:paraId="758483F3" w14:textId="77777777" w:rsidR="00E1197B" w:rsidRDefault="00E1197B" w:rsidP="006203A7">
      <w:pPr>
        <w:pStyle w:val="PlainText"/>
        <w:jc w:val="center"/>
        <w:rPr>
          <w:rFonts w:ascii="Tahoma" w:hAnsi="Tahoma" w:cs="Tahoma"/>
          <w:b/>
          <w:u w:val="single"/>
        </w:rPr>
      </w:pPr>
    </w:p>
    <w:p w14:paraId="2E81B46C" w14:textId="1D2D603B" w:rsidR="00761D40" w:rsidRDefault="00761D40" w:rsidP="00761D40">
      <w:pPr>
        <w:pStyle w:val="NormalWeb"/>
        <w:shd w:val="clear" w:color="auto" w:fill="FFFFFF"/>
        <w:spacing w:before="0" w:beforeAutospacing="0" w:after="375" w:afterAutospacing="0"/>
        <w:textAlignment w:val="baseline"/>
        <w:rPr>
          <w:rFonts w:ascii="Arial" w:hAnsi="Arial" w:cs="Arial"/>
          <w:color w:val="565656"/>
        </w:rPr>
      </w:pPr>
      <w:r>
        <w:rPr>
          <w:rFonts w:ascii="Arial" w:hAnsi="Arial" w:cs="Arial"/>
          <w:color w:val="565656"/>
        </w:rPr>
        <w:t>O</w:t>
      </w:r>
      <w:r>
        <w:rPr>
          <w:rFonts w:ascii="Arial" w:hAnsi="Arial" w:cs="Arial"/>
          <w:color w:val="565656"/>
        </w:rPr>
        <w:t>rganizations today are typically straddling two types of infrastructure: brownfield (typically on virtualization platforms like VMware vSphere, in addition to mainframes, database appliances, network security boxes, etc.), and “greenfield” (containerized applications on Kubernetes that are heavily automated for continuous integration and delivery</w:t>
      </w:r>
      <w:r w:rsidR="009B0256">
        <w:rPr>
          <w:rFonts w:ascii="Arial" w:hAnsi="Arial" w:cs="Arial"/>
          <w:color w:val="565656"/>
        </w:rPr>
        <w:t>, usually deployed to a cloud</w:t>
      </w:r>
      <w:r>
        <w:rPr>
          <w:rFonts w:ascii="Arial" w:hAnsi="Arial" w:cs="Arial"/>
          <w:color w:val="565656"/>
        </w:rPr>
        <w:t>). Businesses transitioning to microservices inevitably face three major hurdles: managing traffic flow, maintaining operational visibility, and enforcing consistent security policies across all services</w:t>
      </w:r>
      <w:r w:rsidR="009B0256">
        <w:rPr>
          <w:rFonts w:ascii="Arial" w:hAnsi="Arial" w:cs="Arial"/>
          <w:color w:val="565656"/>
        </w:rPr>
        <w:t xml:space="preserve"> to create a strong software supply chain. </w:t>
      </w:r>
    </w:p>
    <w:p w14:paraId="40F36B46" w14:textId="47BAF25A" w:rsidR="00761D40" w:rsidRDefault="00761D40" w:rsidP="00761D40">
      <w:pPr>
        <w:pStyle w:val="NormalWeb"/>
        <w:shd w:val="clear" w:color="auto" w:fill="FFFFFF"/>
        <w:spacing w:before="0" w:beforeAutospacing="0" w:after="375" w:afterAutospacing="0"/>
        <w:textAlignment w:val="baseline"/>
        <w:rPr>
          <w:rFonts w:ascii="Arial" w:hAnsi="Arial" w:cs="Arial"/>
          <w:color w:val="565656"/>
        </w:rPr>
      </w:pPr>
      <w:r>
        <w:rPr>
          <w:rFonts w:ascii="Arial" w:hAnsi="Arial" w:cs="Arial"/>
          <w:color w:val="565656"/>
        </w:rPr>
        <w:t xml:space="preserve">Service meshes solve these problems by weaving a uniform service management fabric across polyglot services using dynamically programmable layer-7 proxies that facilitates traffic management, consistent monitoring, authentication, and authorization. A service mesh such as Istio, </w:t>
      </w:r>
      <w:r w:rsidR="009B0256">
        <w:rPr>
          <w:rFonts w:ascii="Arial" w:hAnsi="Arial" w:cs="Arial"/>
          <w:color w:val="565656"/>
        </w:rPr>
        <w:t>set up</w:t>
      </w:r>
      <w:r>
        <w:rPr>
          <w:rFonts w:ascii="Arial" w:hAnsi="Arial" w:cs="Arial"/>
          <w:color w:val="565656"/>
        </w:rPr>
        <w:t xml:space="preserve"> in the right manner across brownfield and greenfield, is an ideal vehicle to accelerate brownfield transformation through safe and incremental migration of mission-critical legacy applications. But there are still several gaps when integrating open-source service mesh solutions into traditional enterprises composed of heterogeneous infrastructure. Some of the key gaps include the ability to seamlessly integrate VM workloads, multi-tenancy</w:t>
      </w:r>
      <w:r w:rsidR="009B0256">
        <w:rPr>
          <w:rFonts w:ascii="Arial" w:hAnsi="Arial" w:cs="Arial"/>
          <w:color w:val="565656"/>
        </w:rPr>
        <w:t>,</w:t>
      </w:r>
      <w:r>
        <w:rPr>
          <w:rFonts w:ascii="Arial" w:hAnsi="Arial" w:cs="Arial"/>
          <w:color w:val="565656"/>
        </w:rPr>
        <w:t xml:space="preserve"> and controlled access to configuration changes.</w:t>
      </w:r>
    </w:p>
    <w:p w14:paraId="5BDDD170" w14:textId="23F0D47E" w:rsidR="00E1197B" w:rsidRDefault="00E1197B" w:rsidP="006203A7">
      <w:pPr>
        <w:pStyle w:val="PlainText"/>
        <w:jc w:val="center"/>
        <w:rPr>
          <w:rFonts w:ascii="Tahoma" w:hAnsi="Tahoma" w:cs="Tahoma"/>
          <w:b/>
          <w:bCs/>
        </w:rPr>
      </w:pPr>
    </w:p>
    <w:p w14:paraId="6914A5AF" w14:textId="58252874" w:rsidR="00761D40" w:rsidRDefault="00761D40" w:rsidP="006203A7">
      <w:pPr>
        <w:pStyle w:val="PlainText"/>
        <w:jc w:val="center"/>
        <w:rPr>
          <w:rFonts w:ascii="Tahoma" w:hAnsi="Tahoma" w:cs="Tahoma"/>
          <w:b/>
          <w:bCs/>
        </w:rPr>
      </w:pPr>
    </w:p>
    <w:p w14:paraId="248DC9FA" w14:textId="77777777" w:rsidR="00761D40" w:rsidRDefault="00761D40" w:rsidP="006203A7">
      <w:pPr>
        <w:pStyle w:val="PlainText"/>
        <w:jc w:val="center"/>
        <w:rPr>
          <w:rFonts w:ascii="Tahoma" w:hAnsi="Tahoma" w:cs="Tahoma"/>
          <w:b/>
          <w:bCs/>
        </w:rPr>
      </w:pPr>
    </w:p>
    <w:p w14:paraId="67B8ADDF" w14:textId="77777777" w:rsidR="00E1197B" w:rsidRDefault="00E1197B" w:rsidP="006203A7">
      <w:pPr>
        <w:pStyle w:val="PlainText"/>
        <w:jc w:val="center"/>
        <w:rPr>
          <w:rFonts w:ascii="Tahoma" w:hAnsi="Tahoma" w:cs="Tahoma"/>
          <w:b/>
          <w:bCs/>
        </w:rPr>
      </w:pPr>
    </w:p>
    <w:p w14:paraId="32F32B57" w14:textId="77777777" w:rsidR="006203A7" w:rsidRPr="006203A7" w:rsidRDefault="00E1197B" w:rsidP="006203A7">
      <w:pPr>
        <w:pStyle w:val="PlainText"/>
        <w:jc w:val="center"/>
        <w:rPr>
          <w:rFonts w:ascii="Tahoma" w:hAnsi="Tahoma" w:cs="Tahoma"/>
          <w:b/>
        </w:rPr>
      </w:pPr>
      <w:r>
        <w:rPr>
          <w:rFonts w:ascii="Tahoma" w:hAnsi="Tahoma" w:cs="Tahoma"/>
          <w:b/>
          <w:u w:val="single"/>
        </w:rPr>
        <w:t>Visit us during GEOINT 2021</w:t>
      </w:r>
    </w:p>
    <w:p w14:paraId="6895855B" w14:textId="7B83AB78" w:rsidR="006203A7" w:rsidRPr="00063779" w:rsidRDefault="00E1197B" w:rsidP="009B0256">
      <w:pPr>
        <w:pStyle w:val="PlainText"/>
        <w:jc w:val="center"/>
        <w:rPr>
          <w:rFonts w:ascii="Tahoma" w:hAnsi="Tahoma" w:cs="Tahoma"/>
        </w:rPr>
      </w:pPr>
      <w:r>
        <w:rPr>
          <w:rFonts w:ascii="Tahoma" w:hAnsi="Tahoma" w:cs="Tahoma"/>
        </w:rPr>
        <w:t>Booth #</w:t>
      </w:r>
    </w:p>
    <w:sectPr w:rsidR="006203A7" w:rsidRPr="00063779" w:rsidSect="008F2614">
      <w:headerReference w:type="default" r:id="rId7"/>
      <w:pgSz w:w="12240" w:h="15840"/>
      <w:pgMar w:top="1152"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CF03F" w14:textId="77777777" w:rsidR="00C5485C" w:rsidRDefault="00C5485C" w:rsidP="00E1197B">
      <w:r>
        <w:separator/>
      </w:r>
    </w:p>
  </w:endnote>
  <w:endnote w:type="continuationSeparator" w:id="0">
    <w:p w14:paraId="118363B1" w14:textId="77777777" w:rsidR="00C5485C" w:rsidRDefault="00C5485C" w:rsidP="00E11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DF1DD" w14:textId="77777777" w:rsidR="00C5485C" w:rsidRDefault="00C5485C" w:rsidP="00E1197B">
      <w:r>
        <w:separator/>
      </w:r>
    </w:p>
  </w:footnote>
  <w:footnote w:type="continuationSeparator" w:id="0">
    <w:p w14:paraId="6342072F" w14:textId="77777777" w:rsidR="00C5485C" w:rsidRDefault="00C5485C" w:rsidP="00E119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A0F0C" w14:textId="421D00C8" w:rsidR="00E1197B" w:rsidRDefault="00136B63" w:rsidP="00136B63">
    <w:pPr>
      <w:pStyle w:val="Header"/>
      <w:jc w:val="right"/>
    </w:pPr>
    <w:r>
      <w:rPr>
        <w:rFonts w:ascii="Tahoma" w:hAnsi="Tahoma" w:cs="Tahoma"/>
        <w:b/>
        <w:noProof/>
        <w:sz w:val="24"/>
        <w:szCs w:val="24"/>
      </w:rPr>
      <w:drawing>
        <wp:inline distT="0" distB="0" distL="0" distR="0" wp14:anchorId="5DE9C9C0" wp14:editId="34DDFCCC">
          <wp:extent cx="1282700" cy="462433"/>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stretch>
                    <a:fillRect/>
                  </a:stretch>
                </pic:blipFill>
                <pic:spPr>
                  <a:xfrm>
                    <a:off x="0" y="0"/>
                    <a:ext cx="1436944" cy="518040"/>
                  </a:xfrm>
                  <a:prstGeom prst="rect">
                    <a:avLst/>
                  </a:prstGeom>
                </pic:spPr>
              </pic:pic>
            </a:graphicData>
          </a:graphic>
        </wp:inline>
      </w:drawing>
    </w:r>
  </w:p>
  <w:p w14:paraId="45B02509" w14:textId="77777777" w:rsidR="00E1197B" w:rsidRDefault="00E119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B6141"/>
    <w:multiLevelType w:val="hybridMultilevel"/>
    <w:tmpl w:val="A480313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9164E"/>
    <w:multiLevelType w:val="hybridMultilevel"/>
    <w:tmpl w:val="E7E86040"/>
    <w:lvl w:ilvl="0" w:tplc="B8F896D6">
      <w:numFmt w:val="bullet"/>
      <w:lvlText w:val="-"/>
      <w:lvlJc w:val="left"/>
      <w:pPr>
        <w:ind w:left="540" w:hanging="360"/>
      </w:pPr>
      <w:rPr>
        <w:rFonts w:ascii="Tahoma" w:eastAsiaTheme="minorHAnsi"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144A4A"/>
    <w:multiLevelType w:val="hybridMultilevel"/>
    <w:tmpl w:val="6A361438"/>
    <w:lvl w:ilvl="0" w:tplc="B8F896D6">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8B27F9"/>
    <w:multiLevelType w:val="hybridMultilevel"/>
    <w:tmpl w:val="C80AB7FA"/>
    <w:lvl w:ilvl="0" w:tplc="3D0A1682">
      <w:numFmt w:val="bullet"/>
      <w:lvlText w:val="-"/>
      <w:lvlJc w:val="left"/>
      <w:pPr>
        <w:ind w:left="1080" w:hanging="360"/>
      </w:pPr>
      <w:rPr>
        <w:rFonts w:ascii="Tahoma" w:eastAsiaTheme="minorHAns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E4C5705"/>
    <w:multiLevelType w:val="hybridMultilevel"/>
    <w:tmpl w:val="31086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B110DC"/>
    <w:multiLevelType w:val="hybridMultilevel"/>
    <w:tmpl w:val="8DDA45D0"/>
    <w:lvl w:ilvl="0" w:tplc="ED3CA58C">
      <w:numFmt w:val="bullet"/>
      <w:lvlText w:val="-"/>
      <w:lvlJc w:val="left"/>
      <w:pPr>
        <w:ind w:left="720" w:hanging="360"/>
      </w:pPr>
      <w:rPr>
        <w:rFonts w:ascii="Tahoma" w:eastAsiaTheme="minorHAnsi"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37318C"/>
    <w:multiLevelType w:val="hybridMultilevel"/>
    <w:tmpl w:val="4F222A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E535C">
      <w:numFmt w:val="bullet"/>
      <w:lvlText w:val="-"/>
      <w:lvlJc w:val="left"/>
      <w:pPr>
        <w:ind w:left="1800" w:hanging="360"/>
      </w:pPr>
      <w:rPr>
        <w:rFonts w:ascii="Tahoma" w:eastAsia="Calibri" w:hAnsi="Tahoma" w:cs="Tahoma"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477D4190"/>
    <w:multiLevelType w:val="hybridMultilevel"/>
    <w:tmpl w:val="1842FC64"/>
    <w:lvl w:ilvl="0" w:tplc="B8F896D6">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3D318D"/>
    <w:multiLevelType w:val="hybridMultilevel"/>
    <w:tmpl w:val="BC709A5A"/>
    <w:lvl w:ilvl="0" w:tplc="2E805A4E">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81259F"/>
    <w:multiLevelType w:val="hybridMultilevel"/>
    <w:tmpl w:val="D21044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67211B08"/>
    <w:multiLevelType w:val="hybridMultilevel"/>
    <w:tmpl w:val="78B09658"/>
    <w:lvl w:ilvl="0" w:tplc="B8F896D6">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92131F"/>
    <w:multiLevelType w:val="hybridMultilevel"/>
    <w:tmpl w:val="9426FDC8"/>
    <w:lvl w:ilvl="0" w:tplc="EDAEBC40">
      <w:numFmt w:val="bullet"/>
      <w:lvlText w:val="-"/>
      <w:lvlJc w:val="left"/>
      <w:pPr>
        <w:ind w:left="1080" w:hanging="360"/>
      </w:pPr>
      <w:rPr>
        <w:rFonts w:ascii="Tahoma" w:eastAsiaTheme="minorHAns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9661062"/>
    <w:multiLevelType w:val="hybridMultilevel"/>
    <w:tmpl w:val="31980236"/>
    <w:lvl w:ilvl="0" w:tplc="FF8062FE">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C65948"/>
    <w:multiLevelType w:val="hybridMultilevel"/>
    <w:tmpl w:val="B0EE34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3"/>
  </w:num>
  <w:num w:numId="2">
    <w:abstractNumId w:val="6"/>
  </w:num>
  <w:num w:numId="3">
    <w:abstractNumId w:val="9"/>
  </w:num>
  <w:num w:numId="4">
    <w:abstractNumId w:val="5"/>
  </w:num>
  <w:num w:numId="5">
    <w:abstractNumId w:val="8"/>
  </w:num>
  <w:num w:numId="6">
    <w:abstractNumId w:val="4"/>
  </w:num>
  <w:num w:numId="7">
    <w:abstractNumId w:val="0"/>
  </w:num>
  <w:num w:numId="8">
    <w:abstractNumId w:val="3"/>
  </w:num>
  <w:num w:numId="9">
    <w:abstractNumId w:val="11"/>
  </w:num>
  <w:num w:numId="10">
    <w:abstractNumId w:val="7"/>
  </w:num>
  <w:num w:numId="11">
    <w:abstractNumId w:val="1"/>
  </w:num>
  <w:num w:numId="12">
    <w:abstractNumId w:val="2"/>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CB5"/>
    <w:rsid w:val="000529AC"/>
    <w:rsid w:val="00063779"/>
    <w:rsid w:val="001146FC"/>
    <w:rsid w:val="001349CD"/>
    <w:rsid w:val="00136B63"/>
    <w:rsid w:val="002728D9"/>
    <w:rsid w:val="00322B3E"/>
    <w:rsid w:val="0033488B"/>
    <w:rsid w:val="003A62D8"/>
    <w:rsid w:val="003F2669"/>
    <w:rsid w:val="004122F3"/>
    <w:rsid w:val="00443C6D"/>
    <w:rsid w:val="0046592D"/>
    <w:rsid w:val="00514A8D"/>
    <w:rsid w:val="00574652"/>
    <w:rsid w:val="006203A7"/>
    <w:rsid w:val="00761D40"/>
    <w:rsid w:val="00785399"/>
    <w:rsid w:val="007A6B60"/>
    <w:rsid w:val="00857238"/>
    <w:rsid w:val="00881EC3"/>
    <w:rsid w:val="008B5313"/>
    <w:rsid w:val="008F2614"/>
    <w:rsid w:val="009051B3"/>
    <w:rsid w:val="00934FF2"/>
    <w:rsid w:val="009B0256"/>
    <w:rsid w:val="00A44927"/>
    <w:rsid w:val="00A91684"/>
    <w:rsid w:val="00AF0939"/>
    <w:rsid w:val="00B53BE0"/>
    <w:rsid w:val="00B73371"/>
    <w:rsid w:val="00BC7EFD"/>
    <w:rsid w:val="00BE0EBA"/>
    <w:rsid w:val="00BE5A2E"/>
    <w:rsid w:val="00C05CB5"/>
    <w:rsid w:val="00C5485C"/>
    <w:rsid w:val="00D46629"/>
    <w:rsid w:val="00D85A0E"/>
    <w:rsid w:val="00E1197B"/>
    <w:rsid w:val="00E54B47"/>
    <w:rsid w:val="00F1689E"/>
    <w:rsid w:val="00FD1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2A351E"/>
  <w15:docId w15:val="{BAB6CB51-E5FB-4962-8689-919F74F3B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CB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CB5"/>
    <w:pPr>
      <w:ind w:left="720"/>
      <w:contextualSpacing/>
    </w:pPr>
    <w:rPr>
      <w:rFonts w:ascii="Times New Roman" w:hAnsi="Times New Roman"/>
      <w:sz w:val="24"/>
      <w:szCs w:val="24"/>
    </w:rPr>
  </w:style>
  <w:style w:type="character" w:styleId="Hyperlink">
    <w:name w:val="Hyperlink"/>
    <w:basedOn w:val="DefaultParagraphFont"/>
    <w:uiPriority w:val="99"/>
    <w:unhideWhenUsed/>
    <w:rsid w:val="00C05CB5"/>
    <w:rPr>
      <w:color w:val="0000FF" w:themeColor="hyperlink"/>
      <w:u w:val="single"/>
    </w:rPr>
  </w:style>
  <w:style w:type="paragraph" w:styleId="PlainText">
    <w:name w:val="Plain Text"/>
    <w:basedOn w:val="Normal"/>
    <w:link w:val="PlainTextChar"/>
    <w:uiPriority w:val="99"/>
    <w:unhideWhenUsed/>
    <w:rsid w:val="00C05CB5"/>
    <w:rPr>
      <w:rFonts w:cstheme="minorBidi"/>
      <w:szCs w:val="21"/>
    </w:rPr>
  </w:style>
  <w:style w:type="character" w:customStyle="1" w:styleId="PlainTextChar">
    <w:name w:val="Plain Text Char"/>
    <w:basedOn w:val="DefaultParagraphFont"/>
    <w:link w:val="PlainText"/>
    <w:uiPriority w:val="99"/>
    <w:rsid w:val="00C05CB5"/>
    <w:rPr>
      <w:rFonts w:ascii="Calibri" w:hAnsi="Calibri"/>
      <w:szCs w:val="21"/>
    </w:rPr>
  </w:style>
  <w:style w:type="paragraph" w:styleId="Header">
    <w:name w:val="header"/>
    <w:basedOn w:val="Normal"/>
    <w:link w:val="HeaderChar"/>
    <w:uiPriority w:val="99"/>
    <w:unhideWhenUsed/>
    <w:rsid w:val="00E1197B"/>
    <w:pPr>
      <w:tabs>
        <w:tab w:val="center" w:pos="4680"/>
        <w:tab w:val="right" w:pos="9360"/>
      </w:tabs>
    </w:pPr>
  </w:style>
  <w:style w:type="character" w:customStyle="1" w:styleId="HeaderChar">
    <w:name w:val="Header Char"/>
    <w:basedOn w:val="DefaultParagraphFont"/>
    <w:link w:val="Header"/>
    <w:uiPriority w:val="99"/>
    <w:rsid w:val="00E1197B"/>
    <w:rPr>
      <w:rFonts w:ascii="Calibri" w:hAnsi="Calibri" w:cs="Times New Roman"/>
    </w:rPr>
  </w:style>
  <w:style w:type="paragraph" w:styleId="Footer">
    <w:name w:val="footer"/>
    <w:basedOn w:val="Normal"/>
    <w:link w:val="FooterChar"/>
    <w:uiPriority w:val="99"/>
    <w:unhideWhenUsed/>
    <w:rsid w:val="00E1197B"/>
    <w:pPr>
      <w:tabs>
        <w:tab w:val="center" w:pos="4680"/>
        <w:tab w:val="right" w:pos="9360"/>
      </w:tabs>
    </w:pPr>
  </w:style>
  <w:style w:type="character" w:customStyle="1" w:styleId="FooterChar">
    <w:name w:val="Footer Char"/>
    <w:basedOn w:val="DefaultParagraphFont"/>
    <w:link w:val="Footer"/>
    <w:uiPriority w:val="99"/>
    <w:rsid w:val="00E1197B"/>
    <w:rPr>
      <w:rFonts w:ascii="Calibri" w:hAnsi="Calibri" w:cs="Times New Roman"/>
    </w:rPr>
  </w:style>
  <w:style w:type="paragraph" w:styleId="NormalWeb">
    <w:name w:val="Normal (Web)"/>
    <w:basedOn w:val="Normal"/>
    <w:uiPriority w:val="99"/>
    <w:unhideWhenUsed/>
    <w:rsid w:val="00761D40"/>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39535">
      <w:bodyDiv w:val="1"/>
      <w:marLeft w:val="0"/>
      <w:marRight w:val="0"/>
      <w:marTop w:val="0"/>
      <w:marBottom w:val="0"/>
      <w:divBdr>
        <w:top w:val="none" w:sz="0" w:space="0" w:color="auto"/>
        <w:left w:val="none" w:sz="0" w:space="0" w:color="auto"/>
        <w:bottom w:val="none" w:sz="0" w:space="0" w:color="auto"/>
        <w:right w:val="none" w:sz="0" w:space="0" w:color="auto"/>
      </w:divBdr>
    </w:div>
    <w:div w:id="566696210">
      <w:bodyDiv w:val="1"/>
      <w:marLeft w:val="0"/>
      <w:marRight w:val="0"/>
      <w:marTop w:val="0"/>
      <w:marBottom w:val="0"/>
      <w:divBdr>
        <w:top w:val="none" w:sz="0" w:space="0" w:color="auto"/>
        <w:left w:val="none" w:sz="0" w:space="0" w:color="auto"/>
        <w:bottom w:val="none" w:sz="0" w:space="0" w:color="auto"/>
        <w:right w:val="none" w:sz="0" w:space="0" w:color="auto"/>
      </w:divBdr>
    </w:div>
    <w:div w:id="972249105">
      <w:bodyDiv w:val="1"/>
      <w:marLeft w:val="0"/>
      <w:marRight w:val="0"/>
      <w:marTop w:val="0"/>
      <w:marBottom w:val="0"/>
      <w:divBdr>
        <w:top w:val="none" w:sz="0" w:space="0" w:color="auto"/>
        <w:left w:val="none" w:sz="0" w:space="0" w:color="auto"/>
        <w:bottom w:val="none" w:sz="0" w:space="0" w:color="auto"/>
        <w:right w:val="none" w:sz="0" w:space="0" w:color="auto"/>
      </w:divBdr>
    </w:div>
    <w:div w:id="1381246356">
      <w:bodyDiv w:val="1"/>
      <w:marLeft w:val="0"/>
      <w:marRight w:val="0"/>
      <w:marTop w:val="0"/>
      <w:marBottom w:val="0"/>
      <w:divBdr>
        <w:top w:val="none" w:sz="0" w:space="0" w:color="auto"/>
        <w:left w:val="none" w:sz="0" w:space="0" w:color="auto"/>
        <w:bottom w:val="none" w:sz="0" w:space="0" w:color="auto"/>
        <w:right w:val="none" w:sz="0" w:space="0" w:color="auto"/>
      </w:divBdr>
    </w:div>
    <w:div w:id="1737898810">
      <w:bodyDiv w:val="1"/>
      <w:marLeft w:val="0"/>
      <w:marRight w:val="0"/>
      <w:marTop w:val="0"/>
      <w:marBottom w:val="0"/>
      <w:divBdr>
        <w:top w:val="none" w:sz="0" w:space="0" w:color="auto"/>
        <w:left w:val="none" w:sz="0" w:space="0" w:color="auto"/>
        <w:bottom w:val="none" w:sz="0" w:space="0" w:color="auto"/>
        <w:right w:val="none" w:sz="0" w:space="0" w:color="auto"/>
      </w:divBdr>
    </w:div>
    <w:div w:id="214257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Chahalis</dc:creator>
  <cp:lastModifiedBy>Nick DiDonato</cp:lastModifiedBy>
  <cp:revision>2</cp:revision>
  <dcterms:created xsi:type="dcterms:W3CDTF">2022-03-30T19:13:00Z</dcterms:created>
  <dcterms:modified xsi:type="dcterms:W3CDTF">2022-03-30T19:13:00Z</dcterms:modified>
</cp:coreProperties>
</file>